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9D9" w:rsidRPr="001F1BE4" w:rsidRDefault="00D439D9" w:rsidP="00B87DAD">
      <w:pPr>
        <w:bidi w:val="0"/>
        <w:spacing w:after="0" w:line="480" w:lineRule="auto"/>
        <w:rPr>
          <w:rFonts w:asciiTheme="majorBidi" w:eastAsia="Calibri" w:hAnsiTheme="majorBidi" w:cstheme="majorBidi"/>
          <w:b/>
          <w:bCs/>
          <w:sz w:val="24"/>
          <w:szCs w:val="24"/>
          <w:rtl/>
        </w:rPr>
      </w:pPr>
      <w:r w:rsidRPr="001F1BE4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Table </w:t>
      </w:r>
      <w:r w:rsidR="00F83C47">
        <w:rPr>
          <w:rFonts w:asciiTheme="majorBidi" w:eastAsia="Calibri" w:hAnsiTheme="majorBidi" w:cstheme="majorBidi"/>
          <w:b/>
          <w:bCs/>
          <w:sz w:val="24"/>
          <w:szCs w:val="24"/>
        </w:rPr>
        <w:t>4</w:t>
      </w:r>
      <w:r w:rsidRPr="001F1BE4">
        <w:rPr>
          <w:rFonts w:asciiTheme="majorBidi" w:eastAsia="Calibri" w:hAnsiTheme="majorBidi" w:cstheme="majorBidi"/>
          <w:b/>
          <w:bCs/>
          <w:sz w:val="24"/>
          <w:szCs w:val="24"/>
        </w:rPr>
        <w:t>: Patients outcomes</w:t>
      </w:r>
      <w:r w:rsidRPr="001F1BE4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in the first year of follow-up</w:t>
      </w:r>
    </w:p>
    <w:tbl>
      <w:tblPr>
        <w:tblStyle w:val="TableGrid"/>
        <w:bidiVisual/>
        <w:tblW w:w="0" w:type="auto"/>
        <w:jc w:val="center"/>
        <w:tblLook w:val="04E0" w:firstRow="1" w:lastRow="1" w:firstColumn="1" w:lastColumn="0" w:noHBand="0" w:noVBand="1"/>
      </w:tblPr>
      <w:tblGrid>
        <w:gridCol w:w="2527"/>
        <w:gridCol w:w="4405"/>
      </w:tblGrid>
      <w:tr w:rsidR="00D439D9" w:rsidRPr="00AA6911" w:rsidTr="00B87DAD">
        <w:trPr>
          <w:jc w:val="center"/>
        </w:trPr>
        <w:tc>
          <w:tcPr>
            <w:tcW w:w="2527" w:type="dxa"/>
            <w:hideMark/>
          </w:tcPr>
          <w:p w:rsidR="00D439D9" w:rsidRPr="00AA6911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N (%)</w:t>
            </w:r>
          </w:p>
        </w:tc>
        <w:tc>
          <w:tcPr>
            <w:tcW w:w="4405" w:type="dxa"/>
          </w:tcPr>
          <w:p w:rsidR="00D439D9" w:rsidRPr="00AA6911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Outcomes</w:t>
            </w:r>
          </w:p>
        </w:tc>
      </w:tr>
      <w:tr w:rsidR="00D439D9" w:rsidRPr="00AA6911" w:rsidTr="00B87DAD">
        <w:trPr>
          <w:trHeight w:val="411"/>
          <w:jc w:val="center"/>
        </w:trPr>
        <w:tc>
          <w:tcPr>
            <w:tcW w:w="2527" w:type="dxa"/>
            <w:hideMark/>
          </w:tcPr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243 (30.9)</w:t>
            </w:r>
          </w:p>
        </w:tc>
        <w:tc>
          <w:tcPr>
            <w:tcW w:w="4405" w:type="dxa"/>
            <w:hideMark/>
          </w:tcPr>
          <w:p w:rsidR="00D439D9" w:rsidRPr="00AA6911" w:rsidRDefault="00D439D9" w:rsidP="009C1E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Total DEATH in the first year of follow-up</w:t>
            </w:r>
          </w:p>
        </w:tc>
      </w:tr>
      <w:tr w:rsidR="00D439D9" w:rsidRPr="00AA6911" w:rsidTr="00B87DAD">
        <w:trPr>
          <w:jc w:val="center"/>
        </w:trPr>
        <w:tc>
          <w:tcPr>
            <w:tcW w:w="2527" w:type="dxa"/>
          </w:tcPr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49 (6.2)</w:t>
            </w:r>
          </w:p>
        </w:tc>
        <w:tc>
          <w:tcPr>
            <w:tcW w:w="4405" w:type="dxa"/>
          </w:tcPr>
          <w:p w:rsidR="00D439D9" w:rsidRPr="00AA6911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Death in hospital</w:t>
            </w:r>
          </w:p>
        </w:tc>
      </w:tr>
      <w:tr w:rsidR="00D439D9" w:rsidRPr="00AA6911" w:rsidTr="00B87DAD">
        <w:trPr>
          <w:jc w:val="center"/>
        </w:trPr>
        <w:tc>
          <w:tcPr>
            <w:tcW w:w="2527" w:type="dxa"/>
          </w:tcPr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80 (10.2)</w:t>
            </w:r>
          </w:p>
        </w:tc>
        <w:tc>
          <w:tcPr>
            <w:tcW w:w="4405" w:type="dxa"/>
          </w:tcPr>
          <w:p w:rsidR="00D439D9" w:rsidRPr="00AA6911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Death in first follow (1 month)</w:t>
            </w:r>
          </w:p>
        </w:tc>
      </w:tr>
      <w:tr w:rsidR="00D439D9" w:rsidRPr="00AA6911" w:rsidTr="00B87DAD">
        <w:trPr>
          <w:jc w:val="center"/>
        </w:trPr>
        <w:tc>
          <w:tcPr>
            <w:tcW w:w="2527" w:type="dxa"/>
          </w:tcPr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69 (8.8)</w:t>
            </w:r>
          </w:p>
        </w:tc>
        <w:tc>
          <w:tcPr>
            <w:tcW w:w="4405" w:type="dxa"/>
          </w:tcPr>
          <w:p w:rsidR="00D439D9" w:rsidRPr="00AA6911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Death in second follow(6 month)</w:t>
            </w:r>
          </w:p>
        </w:tc>
      </w:tr>
      <w:tr w:rsidR="00D439D9" w:rsidRPr="00AA6911" w:rsidTr="00B87DAD">
        <w:trPr>
          <w:jc w:val="center"/>
        </w:trPr>
        <w:tc>
          <w:tcPr>
            <w:tcW w:w="2527" w:type="dxa"/>
          </w:tcPr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45 (5.7)</w:t>
            </w:r>
          </w:p>
        </w:tc>
        <w:tc>
          <w:tcPr>
            <w:tcW w:w="4405" w:type="dxa"/>
          </w:tcPr>
          <w:p w:rsidR="00D439D9" w:rsidRPr="00AA6911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Death in third follow(12 month)</w:t>
            </w:r>
          </w:p>
        </w:tc>
      </w:tr>
      <w:tr w:rsidR="00D439D9" w:rsidRPr="00AA6911" w:rsidTr="00B87DAD">
        <w:trPr>
          <w:jc w:val="center"/>
        </w:trPr>
        <w:tc>
          <w:tcPr>
            <w:tcW w:w="2527" w:type="dxa"/>
          </w:tcPr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474 (60.2)</w:t>
            </w:r>
          </w:p>
        </w:tc>
        <w:tc>
          <w:tcPr>
            <w:tcW w:w="4405" w:type="dxa"/>
          </w:tcPr>
          <w:p w:rsidR="00D439D9" w:rsidRPr="00AA6911" w:rsidRDefault="00D439D9" w:rsidP="009C1E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Total LIVE in the first year of follow-up</w:t>
            </w:r>
          </w:p>
        </w:tc>
      </w:tr>
      <w:tr w:rsidR="00D439D9" w:rsidRPr="00AA6911" w:rsidTr="00B87DAD">
        <w:trPr>
          <w:trHeight w:val="301"/>
          <w:jc w:val="center"/>
        </w:trPr>
        <w:tc>
          <w:tcPr>
            <w:tcW w:w="2527" w:type="dxa"/>
          </w:tcPr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70 (8.6)</w:t>
            </w:r>
          </w:p>
        </w:tc>
        <w:tc>
          <w:tcPr>
            <w:tcW w:w="4405" w:type="dxa"/>
          </w:tcPr>
          <w:p w:rsidR="00D439D9" w:rsidRPr="00AA6911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Unknown*</w:t>
            </w:r>
          </w:p>
        </w:tc>
      </w:tr>
      <w:tr w:rsidR="00D439D9" w:rsidRPr="00AA6911" w:rsidTr="00B87DAD">
        <w:trPr>
          <w:trHeight w:val="240"/>
          <w:jc w:val="center"/>
        </w:trPr>
        <w:tc>
          <w:tcPr>
            <w:tcW w:w="2527" w:type="dxa"/>
          </w:tcPr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787</w:t>
            </w:r>
          </w:p>
        </w:tc>
        <w:tc>
          <w:tcPr>
            <w:tcW w:w="4405" w:type="dxa"/>
          </w:tcPr>
          <w:p w:rsidR="00D439D9" w:rsidRPr="00AA6911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Total registered patients</w:t>
            </w:r>
          </w:p>
        </w:tc>
      </w:tr>
      <w:tr w:rsidR="00D439D9" w:rsidRPr="00AA6911" w:rsidTr="00B87DAD">
        <w:trPr>
          <w:trHeight w:val="1583"/>
          <w:jc w:val="center"/>
        </w:trPr>
        <w:tc>
          <w:tcPr>
            <w:tcW w:w="2527" w:type="dxa"/>
            <w:hideMark/>
          </w:tcPr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129 (16)</w:t>
            </w:r>
          </w:p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31 (24)</w:t>
            </w:r>
          </w:p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16 (52)</w:t>
            </w:r>
          </w:p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12 (75)</w:t>
            </w:r>
          </w:p>
        </w:tc>
        <w:tc>
          <w:tcPr>
            <w:tcW w:w="4405" w:type="dxa"/>
            <w:hideMark/>
          </w:tcPr>
          <w:p w:rsidR="00D439D9" w:rsidRPr="00AA6911" w:rsidRDefault="00D439D9" w:rsidP="009C1E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Re-hospitalization within a year</w:t>
            </w:r>
          </w:p>
          <w:p w:rsidR="00D439D9" w:rsidRPr="00AA6911" w:rsidRDefault="00D439D9" w:rsidP="009C1E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Second hospitalized</w:t>
            </w:r>
          </w:p>
          <w:p w:rsidR="00D439D9" w:rsidRPr="00AA6911" w:rsidRDefault="00D439D9" w:rsidP="009C1E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third hospitalized</w:t>
            </w:r>
          </w:p>
          <w:p w:rsidR="00D439D9" w:rsidRPr="00AA6911" w:rsidRDefault="00D439D9" w:rsidP="009C1E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Fourth hospitalized</w:t>
            </w:r>
          </w:p>
          <w:p w:rsidR="00D439D9" w:rsidRPr="00AA6911" w:rsidRDefault="00D439D9" w:rsidP="009C1EE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eastAsia="Times New Roman" w:hAnsiTheme="majorBidi" w:cstheme="majorBidi"/>
                <w:sz w:val="24"/>
                <w:szCs w:val="24"/>
              </w:rPr>
              <w:t>Fifth to ninth hospitalized</w:t>
            </w:r>
          </w:p>
        </w:tc>
      </w:tr>
      <w:tr w:rsidR="00D439D9" w:rsidRPr="00AA6911" w:rsidTr="00B87DAD">
        <w:trPr>
          <w:jc w:val="center"/>
        </w:trPr>
        <w:tc>
          <w:tcPr>
            <w:tcW w:w="2527" w:type="dxa"/>
            <w:hideMark/>
          </w:tcPr>
          <w:p w:rsidR="00D439D9" w:rsidRPr="006172D8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172D8">
              <w:rPr>
                <w:rFonts w:asciiTheme="majorBidi" w:hAnsiTheme="majorBidi" w:cstheme="majorBidi"/>
                <w:sz w:val="24"/>
                <w:szCs w:val="24"/>
              </w:rPr>
              <w:t>4.88 ±3.83 **</w:t>
            </w:r>
          </w:p>
        </w:tc>
        <w:tc>
          <w:tcPr>
            <w:tcW w:w="4405" w:type="dxa"/>
            <w:hideMark/>
          </w:tcPr>
          <w:p w:rsidR="00D439D9" w:rsidRPr="00AA6911" w:rsidRDefault="00D439D9" w:rsidP="009C1EEB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AA6911">
              <w:rPr>
                <w:rFonts w:asciiTheme="majorBidi" w:hAnsiTheme="majorBidi" w:cstheme="majorBidi"/>
                <w:sz w:val="24"/>
                <w:szCs w:val="24"/>
              </w:rPr>
              <w:t>Length of stay, day</w:t>
            </w:r>
          </w:p>
        </w:tc>
      </w:tr>
    </w:tbl>
    <w:p w:rsidR="001F1BE4" w:rsidRDefault="001F1BE4" w:rsidP="007E0C82">
      <w:pPr>
        <w:pStyle w:val="HTMLPreformatted"/>
        <w:spacing w:line="480" w:lineRule="auto"/>
        <w:jc w:val="center"/>
        <w:rPr>
          <w:rFonts w:asciiTheme="majorBidi" w:hAnsiTheme="majorBidi" w:cstheme="majorBidi"/>
          <w:sz w:val="24"/>
          <w:szCs w:val="24"/>
        </w:rPr>
      </w:pPr>
    </w:p>
    <w:p w:rsidR="00D439D9" w:rsidRPr="00AA6911" w:rsidRDefault="00D439D9" w:rsidP="007E0C82">
      <w:pPr>
        <w:pStyle w:val="HTMLPreformatted"/>
        <w:spacing w:line="480" w:lineRule="auto"/>
        <w:rPr>
          <w:rFonts w:asciiTheme="majorBidi" w:hAnsiTheme="majorBidi" w:cstheme="majorBidi"/>
          <w:sz w:val="24"/>
          <w:szCs w:val="24"/>
        </w:rPr>
      </w:pPr>
      <w:r w:rsidRPr="00AA6911">
        <w:rPr>
          <w:rFonts w:asciiTheme="majorBidi" w:hAnsiTheme="majorBidi" w:cstheme="majorBidi"/>
          <w:sz w:val="24"/>
          <w:szCs w:val="24"/>
        </w:rPr>
        <w:t>* Patients who for whatever reason were not available for follow-up</w:t>
      </w:r>
    </w:p>
    <w:p w:rsidR="00D439D9" w:rsidRPr="00AA6911" w:rsidRDefault="00D439D9" w:rsidP="007E0C82">
      <w:pPr>
        <w:bidi w:val="0"/>
        <w:spacing w:after="0" w:line="480" w:lineRule="auto"/>
        <w:rPr>
          <w:rFonts w:asciiTheme="majorBidi" w:eastAsia="Times New Roman" w:hAnsiTheme="majorBidi" w:cstheme="majorBidi"/>
          <w:sz w:val="24"/>
          <w:szCs w:val="24"/>
        </w:rPr>
      </w:pPr>
      <w:r w:rsidRPr="00AA6911">
        <w:rPr>
          <w:rFonts w:asciiTheme="majorBidi" w:eastAsia="Times New Roman" w:hAnsiTheme="majorBidi" w:cstheme="majorBidi"/>
          <w:sz w:val="24"/>
          <w:szCs w:val="24"/>
        </w:rPr>
        <w:t>** Median (Q1, Q3) =4 (3, 6)</w:t>
      </w:r>
    </w:p>
    <w:p w:rsidR="00D93DD9" w:rsidRDefault="00D93DD9" w:rsidP="007E0C82">
      <w:pPr>
        <w:bidi w:val="0"/>
        <w:spacing w:line="480" w:lineRule="auto"/>
        <w:jc w:val="center"/>
      </w:pPr>
      <w:bookmarkStart w:id="0" w:name="_GoBack"/>
      <w:bookmarkEnd w:id="0"/>
    </w:p>
    <w:sectPr w:rsidR="00D93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D9"/>
    <w:rsid w:val="00053530"/>
    <w:rsid w:val="00152AB4"/>
    <w:rsid w:val="001F1BE4"/>
    <w:rsid w:val="006172D8"/>
    <w:rsid w:val="007E0C82"/>
    <w:rsid w:val="009C1EEB"/>
    <w:rsid w:val="00B87DAD"/>
    <w:rsid w:val="00D439D9"/>
    <w:rsid w:val="00D93DD9"/>
    <w:rsid w:val="00F8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07E318-E0A2-4757-AA95-9E6ED0F10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9D9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39D9"/>
    <w:pPr>
      <w:spacing w:after="0" w:line="240" w:lineRule="auto"/>
    </w:pPr>
    <w:rPr>
      <w:rFonts w:ascii="Calibri" w:eastAsia="Calibri" w:hAnsi="Calibri" w:cs="Arial"/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439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439D9"/>
    <w:rPr>
      <w:rFonts w:ascii="Courier New" w:eastAsia="Times New Roman" w:hAnsi="Courier New" w:cs="Courier New"/>
      <w:sz w:val="20"/>
      <w:szCs w:val="20"/>
      <w:lang w:bidi="fa-IR"/>
    </w:rPr>
  </w:style>
  <w:style w:type="table" w:styleId="PlainTable4">
    <w:name w:val="Plain Table 4"/>
    <w:basedOn w:val="TableNormal"/>
    <w:uiPriority w:val="44"/>
    <w:rsid w:val="0005353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C1E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Novin Rayaneh</dc:creator>
  <cp:keywords/>
  <dc:description/>
  <cp:lastModifiedBy>Novin Rayaneh</cp:lastModifiedBy>
  <cp:revision>9</cp:revision>
  <dcterms:created xsi:type="dcterms:W3CDTF">2017-07-01T04:14:00Z</dcterms:created>
  <dcterms:modified xsi:type="dcterms:W3CDTF">2017-10-12T06:33:00Z</dcterms:modified>
</cp:coreProperties>
</file>