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FED" w:rsidRPr="00807368" w:rsidRDefault="00C21FED" w:rsidP="00925FD4">
      <w:pPr>
        <w:spacing w:line="276" w:lineRule="auto"/>
        <w:jc w:val="center"/>
        <w:rPr>
          <w:rStyle w:val="fontstyle01"/>
          <w:rFonts w:asciiTheme="majorBidi" w:hAnsiTheme="majorBidi" w:cstheme="majorBidi"/>
          <w:b/>
          <w:bCs/>
          <w:sz w:val="28"/>
          <w:szCs w:val="28"/>
        </w:rPr>
      </w:pPr>
      <w:r w:rsidRPr="00807368">
        <w:rPr>
          <w:rStyle w:val="fontstyle01"/>
          <w:rFonts w:asciiTheme="majorBidi" w:hAnsiTheme="majorBidi" w:cstheme="majorBidi"/>
          <w:b/>
          <w:bCs/>
          <w:sz w:val="28"/>
          <w:szCs w:val="28"/>
        </w:rPr>
        <w:t>Effect of recombinant insulin-like growth factor 2</w:t>
      </w:r>
      <w:r w:rsidRPr="00807368">
        <w:rPr>
          <w:rStyle w:val="fontstyle01"/>
          <w:rFonts w:asciiTheme="majorBidi" w:hAnsiTheme="majorBidi" w:cstheme="majorBidi"/>
          <w:sz w:val="28"/>
          <w:szCs w:val="28"/>
        </w:rPr>
        <w:t xml:space="preserve"> </w:t>
      </w:r>
      <w:r w:rsidRPr="00807368">
        <w:rPr>
          <w:rStyle w:val="fontstyle01"/>
          <w:rFonts w:asciiTheme="majorBidi" w:hAnsiTheme="majorBidi" w:cstheme="majorBidi"/>
          <w:b/>
          <w:bCs/>
          <w:sz w:val="28"/>
          <w:szCs w:val="28"/>
        </w:rPr>
        <w:t>(IGF-II) injected into the hippocampus on memory impairment and IGF-II gene expression following hippocampal intracerebral hemorrhage in rat</w:t>
      </w:r>
      <w:r w:rsidR="00F441FB" w:rsidRPr="00807368">
        <w:rPr>
          <w:rStyle w:val="fontstyle01"/>
          <w:rFonts w:asciiTheme="majorBidi" w:hAnsiTheme="majorBidi" w:cstheme="majorBidi"/>
          <w:b/>
          <w:bCs/>
          <w:sz w:val="28"/>
          <w:szCs w:val="28"/>
        </w:rPr>
        <w:t>s</w:t>
      </w:r>
    </w:p>
    <w:p w:rsidR="00BA3BBD" w:rsidRPr="00807368" w:rsidRDefault="00BA3BBD" w:rsidP="00925FD4">
      <w:pPr>
        <w:spacing w:line="276" w:lineRule="auto"/>
        <w:jc w:val="center"/>
        <w:rPr>
          <w:rStyle w:val="fontstyle01"/>
          <w:rFonts w:asciiTheme="majorBidi" w:hAnsiTheme="majorBidi" w:cstheme="majorBidi"/>
          <w:b/>
          <w:bCs/>
          <w:sz w:val="24"/>
          <w:szCs w:val="24"/>
        </w:rPr>
      </w:pPr>
      <w:r w:rsidRPr="00807368">
        <w:rPr>
          <w:rFonts w:asciiTheme="majorBidi" w:hAnsiTheme="majorBidi" w:cstheme="majorBidi"/>
          <w:sz w:val="24"/>
          <w:szCs w:val="24"/>
        </w:rPr>
        <w:t>Running title: Effect of IGF-II on memory impairment following intracerebral hemorrhage</w:t>
      </w:r>
    </w:p>
    <w:p w:rsidR="00C21FED" w:rsidRPr="00807368" w:rsidRDefault="00C21FED" w:rsidP="00925FD4">
      <w:pPr>
        <w:spacing w:line="276" w:lineRule="auto"/>
        <w:rPr>
          <w:rFonts w:asciiTheme="majorBidi" w:hAnsiTheme="majorBidi" w:cstheme="majorBidi"/>
          <w:b/>
          <w:bCs/>
          <w:sz w:val="24"/>
          <w:szCs w:val="24"/>
        </w:rPr>
      </w:pPr>
      <w:r w:rsidRPr="00807368">
        <w:rPr>
          <w:rFonts w:asciiTheme="majorBidi" w:hAnsiTheme="majorBidi" w:cstheme="majorBidi"/>
          <w:b/>
          <w:bCs/>
          <w:sz w:val="24"/>
          <w:szCs w:val="24"/>
        </w:rPr>
        <w:t>Abstract:</w:t>
      </w:r>
    </w:p>
    <w:p w:rsidR="00C21FED" w:rsidRPr="00807368" w:rsidRDefault="001D688A" w:rsidP="00925FD4">
      <w:pPr>
        <w:spacing w:line="276" w:lineRule="auto"/>
        <w:jc w:val="both"/>
        <w:rPr>
          <w:rStyle w:val="fontstyle01"/>
          <w:rFonts w:asciiTheme="majorBidi" w:hAnsiTheme="majorBidi" w:cstheme="majorBidi"/>
          <w:sz w:val="24"/>
          <w:szCs w:val="24"/>
        </w:rPr>
      </w:pPr>
      <w:r w:rsidRPr="00807368">
        <w:rPr>
          <w:rStyle w:val="fontstyle01"/>
          <w:rFonts w:asciiTheme="majorBidi" w:hAnsiTheme="majorBidi" w:cstheme="majorBidi"/>
          <w:b/>
          <w:bCs/>
          <w:sz w:val="24"/>
          <w:szCs w:val="24"/>
        </w:rPr>
        <w:t>Background:</w:t>
      </w:r>
      <w:r w:rsidRPr="00807368">
        <w:rPr>
          <w:rStyle w:val="fontstyle01"/>
          <w:rFonts w:asciiTheme="majorBidi" w:hAnsiTheme="majorBidi" w:cstheme="majorBidi"/>
          <w:sz w:val="24"/>
          <w:szCs w:val="24"/>
        </w:rPr>
        <w:t xml:space="preserve"> </w:t>
      </w:r>
      <w:r w:rsidR="00822734" w:rsidRPr="00807368">
        <w:rPr>
          <w:rStyle w:val="fontstyle01"/>
          <w:rFonts w:asciiTheme="majorBidi" w:hAnsiTheme="majorBidi" w:cstheme="majorBidi"/>
          <w:sz w:val="24"/>
          <w:szCs w:val="24"/>
        </w:rPr>
        <w:t xml:space="preserve">Insulin-like growth factor 2 (IGF-II) is a growth factor and </w:t>
      </w:r>
      <w:r w:rsidR="00264BA2" w:rsidRPr="00807368">
        <w:rPr>
          <w:rStyle w:val="fontstyle01"/>
          <w:rFonts w:asciiTheme="majorBidi" w:hAnsiTheme="majorBidi" w:cstheme="majorBidi"/>
          <w:sz w:val="24"/>
          <w:szCs w:val="24"/>
        </w:rPr>
        <w:t xml:space="preserve">an </w:t>
      </w:r>
      <w:r w:rsidR="00822734" w:rsidRPr="00807368">
        <w:rPr>
          <w:rStyle w:val="fontstyle01"/>
          <w:rFonts w:asciiTheme="majorBidi" w:hAnsiTheme="majorBidi" w:cstheme="majorBidi"/>
          <w:sz w:val="24"/>
          <w:szCs w:val="24"/>
        </w:rPr>
        <w:t>anti-inﬂammatory cytokine that has also pivotal activity on memory.</w:t>
      </w:r>
      <w:r w:rsidR="00822734" w:rsidRPr="00807368">
        <w:rPr>
          <w:rFonts w:asciiTheme="majorBidi" w:hAnsiTheme="majorBidi" w:cstheme="majorBidi"/>
        </w:rPr>
        <w:t xml:space="preserve"> </w:t>
      </w:r>
      <w:r w:rsidR="00C21FED" w:rsidRPr="00807368">
        <w:rPr>
          <w:rStyle w:val="fontstyle01"/>
          <w:rFonts w:asciiTheme="majorBidi" w:hAnsiTheme="majorBidi" w:cstheme="majorBidi"/>
          <w:sz w:val="24"/>
          <w:szCs w:val="24"/>
        </w:rPr>
        <w:t xml:space="preserve">The aim of this study was to investigate the effect of </w:t>
      </w:r>
      <w:r w:rsidR="00B9628E" w:rsidRPr="00807368">
        <w:rPr>
          <w:rStyle w:val="fontstyle01"/>
          <w:rFonts w:asciiTheme="majorBidi" w:hAnsiTheme="majorBidi" w:cstheme="majorBidi"/>
          <w:sz w:val="24"/>
          <w:szCs w:val="24"/>
        </w:rPr>
        <w:t>recombinant</w:t>
      </w:r>
      <w:r w:rsidR="00B9628E" w:rsidRPr="00807368">
        <w:rPr>
          <w:rStyle w:val="fontstyle01"/>
          <w:rFonts w:asciiTheme="majorBidi" w:hAnsiTheme="majorBidi" w:cstheme="majorBidi"/>
          <w:b/>
          <w:bCs/>
          <w:sz w:val="24"/>
          <w:szCs w:val="24"/>
        </w:rPr>
        <w:t xml:space="preserve"> </w:t>
      </w:r>
      <w:r w:rsidR="00C21FED" w:rsidRPr="00807368">
        <w:rPr>
          <w:rStyle w:val="fontstyle01"/>
          <w:rFonts w:asciiTheme="majorBidi" w:hAnsiTheme="majorBidi" w:cstheme="majorBidi"/>
          <w:sz w:val="24"/>
          <w:szCs w:val="24"/>
        </w:rPr>
        <w:t>IGF-II</w:t>
      </w:r>
      <w:r w:rsidR="00B9628E" w:rsidRPr="00807368">
        <w:rPr>
          <w:rStyle w:val="fontstyle01"/>
          <w:rFonts w:asciiTheme="majorBidi" w:hAnsiTheme="majorBidi" w:cstheme="majorBidi"/>
          <w:sz w:val="24"/>
          <w:szCs w:val="24"/>
        </w:rPr>
        <w:t xml:space="preserve"> </w:t>
      </w:r>
      <w:r w:rsidR="00C21FED" w:rsidRPr="00807368">
        <w:rPr>
          <w:rStyle w:val="fontstyle01"/>
          <w:rFonts w:asciiTheme="majorBidi" w:hAnsiTheme="majorBidi" w:cstheme="majorBidi"/>
          <w:sz w:val="24"/>
          <w:szCs w:val="24"/>
        </w:rPr>
        <w:t>on memory impairment due to intracerebral hemorrhage (ICH)</w:t>
      </w:r>
      <w:r w:rsidR="005042D3" w:rsidRPr="00807368">
        <w:rPr>
          <w:rStyle w:val="fontstyle01"/>
          <w:rFonts w:asciiTheme="majorBidi" w:hAnsiTheme="majorBidi" w:cstheme="majorBidi"/>
          <w:sz w:val="24"/>
          <w:szCs w:val="24"/>
        </w:rPr>
        <w:t xml:space="preserve">. Hence, avoidance and investigation memory, locomotor activity, neurological deficit score and </w:t>
      </w:r>
      <w:r w:rsidR="00692916" w:rsidRPr="00807368">
        <w:rPr>
          <w:rStyle w:val="fontstyle01"/>
          <w:rFonts w:asciiTheme="majorBidi" w:hAnsiTheme="majorBidi" w:cstheme="majorBidi"/>
          <w:sz w:val="24"/>
          <w:szCs w:val="24"/>
        </w:rPr>
        <w:t xml:space="preserve">the </w:t>
      </w:r>
      <w:r w:rsidR="005042D3" w:rsidRPr="00807368">
        <w:rPr>
          <w:rStyle w:val="fontstyle01"/>
          <w:rFonts w:asciiTheme="majorBidi" w:hAnsiTheme="majorBidi" w:cstheme="majorBidi"/>
          <w:sz w:val="24"/>
          <w:szCs w:val="24"/>
        </w:rPr>
        <w:t xml:space="preserve">level of IGF-II gene expression were </w:t>
      </w:r>
      <w:r w:rsidR="003D31A8" w:rsidRPr="00807368">
        <w:rPr>
          <w:rStyle w:val="fontstyle01"/>
          <w:rFonts w:asciiTheme="majorBidi" w:hAnsiTheme="majorBidi" w:cstheme="majorBidi"/>
          <w:sz w:val="24"/>
          <w:szCs w:val="24"/>
        </w:rPr>
        <w:t>evaluated.</w:t>
      </w:r>
    </w:p>
    <w:p w:rsidR="00C21FED" w:rsidRPr="00807368" w:rsidRDefault="001D688A" w:rsidP="005026D9">
      <w:pPr>
        <w:spacing w:line="276" w:lineRule="auto"/>
        <w:jc w:val="both"/>
        <w:rPr>
          <w:rStyle w:val="fontstyle01"/>
          <w:rFonts w:asciiTheme="majorBidi" w:hAnsiTheme="majorBidi" w:cstheme="majorBidi"/>
          <w:sz w:val="24"/>
          <w:szCs w:val="24"/>
        </w:rPr>
      </w:pPr>
      <w:r w:rsidRPr="00807368">
        <w:rPr>
          <w:rFonts w:asciiTheme="majorBidi" w:hAnsiTheme="majorBidi" w:cstheme="majorBidi"/>
          <w:b/>
          <w:bCs/>
          <w:sz w:val="24"/>
          <w:szCs w:val="24"/>
        </w:rPr>
        <w:t>Materials and Methods:</w:t>
      </w:r>
      <w:r w:rsidRPr="00807368">
        <w:rPr>
          <w:rFonts w:asciiTheme="majorBidi" w:hAnsiTheme="majorBidi" w:cstheme="majorBidi"/>
        </w:rPr>
        <w:t xml:space="preserve"> </w:t>
      </w:r>
      <w:r w:rsidR="00C21FED" w:rsidRPr="00807368">
        <w:rPr>
          <w:rStyle w:val="fontstyle01"/>
          <w:rFonts w:asciiTheme="majorBidi" w:hAnsiTheme="majorBidi" w:cstheme="majorBidi"/>
          <w:sz w:val="24"/>
          <w:szCs w:val="24"/>
        </w:rPr>
        <w:t>To induce ICH, 100 μL of autologous blood was injected into the left hippocampus of male Sprague-Dawley rats.</w:t>
      </w:r>
      <w:r w:rsidR="00C21FED" w:rsidRPr="00807368">
        <w:rPr>
          <w:rFonts w:asciiTheme="majorBidi" w:hAnsiTheme="majorBidi" w:cstheme="majorBidi"/>
          <w:sz w:val="24"/>
          <w:szCs w:val="24"/>
        </w:rPr>
        <w:t xml:space="preserve"> </w:t>
      </w:r>
      <w:r w:rsidR="00C21FED" w:rsidRPr="00807368">
        <w:rPr>
          <w:rStyle w:val="fontstyle01"/>
          <w:rFonts w:asciiTheme="majorBidi" w:hAnsiTheme="majorBidi" w:cstheme="majorBidi"/>
          <w:sz w:val="24"/>
          <w:szCs w:val="24"/>
        </w:rPr>
        <w:t>Recombinant IGF-II was injected into damaged hippocampus 30 min after induction of ICH.</w:t>
      </w:r>
      <w:r w:rsidR="00C21FED" w:rsidRPr="00807368">
        <w:rPr>
          <w:rFonts w:asciiTheme="majorBidi" w:hAnsiTheme="majorBidi" w:cstheme="majorBidi"/>
          <w:sz w:val="24"/>
          <w:szCs w:val="24"/>
        </w:rPr>
        <w:t xml:space="preserve"> </w:t>
      </w:r>
      <w:r w:rsidR="00C21FED" w:rsidRPr="00807368">
        <w:rPr>
          <w:rStyle w:val="fontstyle01"/>
          <w:rFonts w:asciiTheme="majorBidi" w:hAnsiTheme="majorBidi" w:cstheme="majorBidi"/>
          <w:sz w:val="24"/>
          <w:szCs w:val="24"/>
        </w:rPr>
        <w:t xml:space="preserve">Then, over two weeks, the neurological deficit score (NDS) and locomotor activity and </w:t>
      </w:r>
      <w:r w:rsidR="005026D9" w:rsidRPr="00807368">
        <w:rPr>
          <w:rStyle w:val="fontstyle01"/>
          <w:rFonts w:asciiTheme="majorBidi" w:hAnsiTheme="majorBidi" w:cstheme="majorBidi"/>
          <w:sz w:val="24"/>
          <w:szCs w:val="24"/>
        </w:rPr>
        <w:t xml:space="preserve">also </w:t>
      </w:r>
      <w:r w:rsidR="005026D9" w:rsidRPr="00807368">
        <w:rPr>
          <w:rFonts w:asciiTheme="majorBidi" w:hAnsiTheme="majorBidi" w:cstheme="majorBidi"/>
          <w:color w:val="26282A"/>
          <w:sz w:val="24"/>
          <w:szCs w:val="24"/>
          <w:shd w:val="clear" w:color="auto" w:fill="FFFFFF"/>
        </w:rPr>
        <w:t>passive avoidance</w:t>
      </w:r>
      <w:r w:rsidR="00C21FED" w:rsidRPr="00807368">
        <w:rPr>
          <w:rStyle w:val="fontstyle01"/>
          <w:rFonts w:asciiTheme="majorBidi" w:hAnsiTheme="majorBidi" w:cstheme="majorBidi"/>
          <w:sz w:val="24"/>
          <w:szCs w:val="24"/>
        </w:rPr>
        <w:t xml:space="preserve"> and novel object recognition test (NOR)</w:t>
      </w:r>
      <w:r w:rsidR="0095602A" w:rsidRPr="00807368">
        <w:rPr>
          <w:rStyle w:val="fontstyle01"/>
          <w:rFonts w:asciiTheme="majorBidi" w:hAnsiTheme="majorBidi" w:cstheme="majorBidi"/>
          <w:sz w:val="24"/>
          <w:szCs w:val="24"/>
        </w:rPr>
        <w:t xml:space="preserve"> were evaluated</w:t>
      </w:r>
      <w:r w:rsidR="00C21FED" w:rsidRPr="00807368">
        <w:rPr>
          <w:rStyle w:val="fontstyle01"/>
          <w:rFonts w:asciiTheme="majorBidi" w:hAnsiTheme="majorBidi" w:cstheme="majorBidi"/>
          <w:sz w:val="24"/>
          <w:szCs w:val="24"/>
        </w:rPr>
        <w:t>.</w:t>
      </w:r>
      <w:r w:rsidR="00C21FED" w:rsidRPr="00807368">
        <w:rPr>
          <w:rFonts w:asciiTheme="majorBidi" w:hAnsiTheme="majorBidi" w:cstheme="majorBidi"/>
          <w:sz w:val="24"/>
          <w:szCs w:val="24"/>
        </w:rPr>
        <w:t xml:space="preserve"> </w:t>
      </w:r>
      <w:r w:rsidR="001B34E7" w:rsidRPr="00807368">
        <w:rPr>
          <w:rStyle w:val="fontstyle01"/>
          <w:rFonts w:asciiTheme="majorBidi" w:hAnsiTheme="majorBidi" w:cstheme="majorBidi"/>
          <w:sz w:val="24"/>
          <w:szCs w:val="24"/>
        </w:rPr>
        <w:t xml:space="preserve">Finally, </w:t>
      </w:r>
      <w:r w:rsidR="00C21FED" w:rsidRPr="00807368">
        <w:rPr>
          <w:rStyle w:val="fontstyle01"/>
          <w:rFonts w:asciiTheme="majorBidi" w:hAnsiTheme="majorBidi" w:cstheme="majorBidi"/>
          <w:sz w:val="24"/>
          <w:szCs w:val="24"/>
        </w:rPr>
        <w:t xml:space="preserve">the </w:t>
      </w:r>
      <w:r w:rsidR="00692916" w:rsidRPr="00807368">
        <w:rPr>
          <w:rStyle w:val="fontstyle01"/>
          <w:rFonts w:asciiTheme="majorBidi" w:hAnsiTheme="majorBidi" w:cstheme="majorBidi"/>
          <w:sz w:val="24"/>
          <w:szCs w:val="24"/>
        </w:rPr>
        <w:t xml:space="preserve">level of </w:t>
      </w:r>
      <w:r w:rsidR="00C21FED" w:rsidRPr="00807368">
        <w:rPr>
          <w:rStyle w:val="fontstyle01"/>
          <w:rFonts w:asciiTheme="majorBidi" w:hAnsiTheme="majorBidi" w:cstheme="majorBidi"/>
          <w:sz w:val="24"/>
          <w:szCs w:val="24"/>
        </w:rPr>
        <w:t>IGF-II gene</w:t>
      </w:r>
      <w:r w:rsidR="0095602A" w:rsidRPr="00807368">
        <w:rPr>
          <w:rStyle w:val="fontstyle01"/>
          <w:rFonts w:asciiTheme="majorBidi" w:hAnsiTheme="majorBidi" w:cstheme="majorBidi"/>
          <w:sz w:val="24"/>
          <w:szCs w:val="24"/>
        </w:rPr>
        <w:t xml:space="preserve"> </w:t>
      </w:r>
      <w:r w:rsidR="001B34E7" w:rsidRPr="00807368">
        <w:rPr>
          <w:rStyle w:val="fontstyle01"/>
          <w:rFonts w:asciiTheme="majorBidi" w:hAnsiTheme="majorBidi" w:cstheme="majorBidi"/>
          <w:sz w:val="24"/>
          <w:szCs w:val="24"/>
        </w:rPr>
        <w:t>expression</w:t>
      </w:r>
      <w:r w:rsidR="0095602A" w:rsidRPr="00807368">
        <w:rPr>
          <w:rStyle w:val="fontstyle01"/>
          <w:rFonts w:asciiTheme="majorBidi" w:hAnsiTheme="majorBidi" w:cstheme="majorBidi"/>
          <w:sz w:val="24"/>
          <w:szCs w:val="24"/>
        </w:rPr>
        <w:t xml:space="preserve"> evaluated</w:t>
      </w:r>
      <w:r w:rsidR="00C21FED" w:rsidRPr="00807368">
        <w:rPr>
          <w:rStyle w:val="fontstyle01"/>
          <w:rFonts w:asciiTheme="majorBidi" w:hAnsiTheme="majorBidi" w:cstheme="majorBidi"/>
          <w:sz w:val="24"/>
          <w:szCs w:val="24"/>
        </w:rPr>
        <w:t xml:space="preserve"> by RT-PCR technique.</w:t>
      </w:r>
    </w:p>
    <w:p w:rsidR="00C21FED" w:rsidRPr="00807368" w:rsidRDefault="001D688A" w:rsidP="00925FD4">
      <w:pPr>
        <w:spacing w:line="276" w:lineRule="auto"/>
        <w:jc w:val="both"/>
        <w:rPr>
          <w:rStyle w:val="fontstyle01"/>
          <w:rFonts w:asciiTheme="majorBidi" w:hAnsiTheme="majorBidi" w:cstheme="majorBidi"/>
          <w:sz w:val="24"/>
          <w:szCs w:val="24"/>
        </w:rPr>
      </w:pPr>
      <w:r w:rsidRPr="00807368">
        <w:rPr>
          <w:rFonts w:asciiTheme="majorBidi" w:hAnsiTheme="majorBidi" w:cstheme="majorBidi"/>
          <w:b/>
          <w:bCs/>
          <w:sz w:val="24"/>
          <w:szCs w:val="24"/>
        </w:rPr>
        <w:t>Results:</w:t>
      </w:r>
      <w:r w:rsidRPr="00807368">
        <w:rPr>
          <w:rFonts w:asciiTheme="majorBidi" w:hAnsiTheme="majorBidi" w:cstheme="majorBidi"/>
        </w:rPr>
        <w:t xml:space="preserve"> </w:t>
      </w:r>
      <w:r w:rsidR="00C21FED" w:rsidRPr="00807368">
        <w:rPr>
          <w:rStyle w:val="fontstyle01"/>
          <w:rFonts w:asciiTheme="majorBidi" w:hAnsiTheme="majorBidi" w:cstheme="majorBidi"/>
          <w:sz w:val="24"/>
          <w:szCs w:val="24"/>
        </w:rPr>
        <w:t>Our results indicated that recombinant IGF-II injection significantly increased step-through latency (STL) (P&lt;0.001) and total time spent in dark box (P&lt;0.01), but no significant difference was seen with novel object exploration time</w:t>
      </w:r>
      <w:r w:rsidR="0000144E" w:rsidRPr="00807368">
        <w:rPr>
          <w:rStyle w:val="fontstyle01"/>
          <w:rFonts w:asciiTheme="majorBidi" w:hAnsiTheme="majorBidi" w:cstheme="majorBidi"/>
          <w:sz w:val="24"/>
          <w:szCs w:val="24"/>
        </w:rPr>
        <w:t xml:space="preserve"> and neurological deficit score. </w:t>
      </w:r>
      <w:r w:rsidR="00C21FED" w:rsidRPr="00807368">
        <w:rPr>
          <w:rStyle w:val="fontstyle01"/>
          <w:rFonts w:asciiTheme="majorBidi" w:hAnsiTheme="majorBidi" w:cstheme="majorBidi"/>
          <w:sz w:val="24"/>
          <w:szCs w:val="24"/>
        </w:rPr>
        <w:t xml:space="preserve">Locomotor activity did not </w:t>
      </w:r>
      <w:r w:rsidR="008620BC" w:rsidRPr="00807368">
        <w:rPr>
          <w:rStyle w:val="fontstyle01"/>
          <w:rFonts w:asciiTheme="majorBidi" w:hAnsiTheme="majorBidi" w:cstheme="majorBidi"/>
          <w:sz w:val="24"/>
          <w:szCs w:val="24"/>
        </w:rPr>
        <w:t xml:space="preserve">significantly </w:t>
      </w:r>
      <w:r w:rsidR="00C21FED" w:rsidRPr="00807368">
        <w:rPr>
          <w:rStyle w:val="fontstyle01"/>
          <w:rFonts w:asciiTheme="majorBidi" w:hAnsiTheme="majorBidi" w:cstheme="majorBidi"/>
          <w:sz w:val="24"/>
          <w:szCs w:val="24"/>
        </w:rPr>
        <w:t>change</w:t>
      </w:r>
      <w:r w:rsidR="007F62C0" w:rsidRPr="00807368">
        <w:rPr>
          <w:rStyle w:val="fontstyle01"/>
          <w:rFonts w:asciiTheme="majorBidi" w:hAnsiTheme="majorBidi" w:cstheme="majorBidi"/>
          <w:sz w:val="24"/>
          <w:szCs w:val="24"/>
        </w:rPr>
        <w:t xml:space="preserve"> in any group</w:t>
      </w:r>
      <w:r w:rsidR="00C21FED" w:rsidRPr="00807368">
        <w:rPr>
          <w:rStyle w:val="fontstyle01"/>
          <w:rFonts w:asciiTheme="majorBidi" w:hAnsiTheme="majorBidi" w:cstheme="majorBidi"/>
          <w:sz w:val="24"/>
          <w:szCs w:val="24"/>
        </w:rPr>
        <w:t>.</w:t>
      </w:r>
      <w:r w:rsidR="00C21FED" w:rsidRPr="00807368">
        <w:rPr>
          <w:rFonts w:asciiTheme="majorBidi" w:hAnsiTheme="majorBidi" w:cstheme="majorBidi"/>
          <w:sz w:val="24"/>
          <w:szCs w:val="24"/>
        </w:rPr>
        <w:t xml:space="preserve"> </w:t>
      </w:r>
      <w:r w:rsidR="00C21FED" w:rsidRPr="00807368">
        <w:rPr>
          <w:rStyle w:val="fontstyle01"/>
          <w:rFonts w:asciiTheme="majorBidi" w:hAnsiTheme="majorBidi" w:cstheme="majorBidi"/>
          <w:sz w:val="24"/>
          <w:szCs w:val="24"/>
        </w:rPr>
        <w:t xml:space="preserve">The </w:t>
      </w:r>
      <w:r w:rsidR="00692916" w:rsidRPr="00807368">
        <w:rPr>
          <w:rStyle w:val="fontstyle01"/>
          <w:rFonts w:asciiTheme="majorBidi" w:hAnsiTheme="majorBidi" w:cstheme="majorBidi"/>
          <w:sz w:val="24"/>
          <w:szCs w:val="24"/>
        </w:rPr>
        <w:t xml:space="preserve">level of </w:t>
      </w:r>
      <w:r w:rsidR="00C21FED" w:rsidRPr="00807368">
        <w:rPr>
          <w:rStyle w:val="fontstyle01"/>
          <w:rFonts w:asciiTheme="majorBidi" w:hAnsiTheme="majorBidi" w:cstheme="majorBidi"/>
          <w:sz w:val="24"/>
          <w:szCs w:val="24"/>
        </w:rPr>
        <w:t xml:space="preserve">IGF-II gene </w:t>
      </w:r>
      <w:r w:rsidR="00692916" w:rsidRPr="00807368">
        <w:rPr>
          <w:rStyle w:val="fontstyle01"/>
          <w:rFonts w:asciiTheme="majorBidi" w:hAnsiTheme="majorBidi" w:cstheme="majorBidi"/>
          <w:sz w:val="24"/>
          <w:szCs w:val="24"/>
        </w:rPr>
        <w:t xml:space="preserve">expression </w:t>
      </w:r>
      <w:r w:rsidR="0090772B" w:rsidRPr="00807368">
        <w:rPr>
          <w:rStyle w:val="fontstyle01"/>
          <w:rFonts w:asciiTheme="majorBidi" w:hAnsiTheme="majorBidi" w:cstheme="majorBidi"/>
          <w:sz w:val="24"/>
          <w:szCs w:val="24"/>
        </w:rPr>
        <w:t>following IGF-II injection</w:t>
      </w:r>
      <w:r w:rsidR="00692916" w:rsidRPr="00807368">
        <w:rPr>
          <w:rStyle w:val="fontstyle01"/>
          <w:rFonts w:asciiTheme="majorBidi" w:hAnsiTheme="majorBidi" w:cstheme="majorBidi"/>
          <w:sz w:val="24"/>
          <w:szCs w:val="24"/>
        </w:rPr>
        <w:t xml:space="preserve"> significantly reduced (P&lt;0.05)</w:t>
      </w:r>
      <w:r w:rsidR="00C21FED" w:rsidRPr="00807368">
        <w:rPr>
          <w:rStyle w:val="fontstyle01"/>
          <w:rFonts w:asciiTheme="majorBidi" w:hAnsiTheme="majorBidi" w:cstheme="majorBidi"/>
          <w:sz w:val="24"/>
          <w:szCs w:val="24"/>
        </w:rPr>
        <w:t>.</w:t>
      </w:r>
    </w:p>
    <w:p w:rsidR="00C21FED" w:rsidRPr="00807368" w:rsidRDefault="001D688A" w:rsidP="005026D9">
      <w:pPr>
        <w:spacing w:line="276" w:lineRule="auto"/>
        <w:jc w:val="both"/>
        <w:rPr>
          <w:rStyle w:val="fontstyle01"/>
          <w:rFonts w:asciiTheme="majorBidi" w:hAnsiTheme="majorBidi" w:cstheme="majorBidi"/>
          <w:sz w:val="24"/>
          <w:szCs w:val="24"/>
        </w:rPr>
      </w:pPr>
      <w:r w:rsidRPr="00807368">
        <w:rPr>
          <w:rFonts w:asciiTheme="majorBidi" w:hAnsiTheme="majorBidi" w:cstheme="majorBidi"/>
          <w:b/>
          <w:bCs/>
          <w:sz w:val="24"/>
          <w:szCs w:val="24"/>
        </w:rPr>
        <w:t>Conclusion:</w:t>
      </w:r>
      <w:r w:rsidRPr="00807368">
        <w:rPr>
          <w:rFonts w:asciiTheme="majorBidi" w:hAnsiTheme="majorBidi" w:cstheme="majorBidi"/>
        </w:rPr>
        <w:t xml:space="preserve"> </w:t>
      </w:r>
      <w:r w:rsidR="00C21FED" w:rsidRPr="00807368">
        <w:rPr>
          <w:rStyle w:val="fontstyle01"/>
          <w:rFonts w:asciiTheme="majorBidi" w:hAnsiTheme="majorBidi" w:cstheme="majorBidi"/>
          <w:sz w:val="24"/>
          <w:szCs w:val="24"/>
        </w:rPr>
        <w:t>The results of this study show that recombinant IGF-II injection can improve</w:t>
      </w:r>
      <w:r w:rsidR="001609BE" w:rsidRPr="00807368">
        <w:rPr>
          <w:rStyle w:val="fontstyle01"/>
          <w:rFonts w:asciiTheme="majorBidi" w:hAnsiTheme="majorBidi" w:cstheme="majorBidi"/>
          <w:sz w:val="24"/>
          <w:szCs w:val="24"/>
        </w:rPr>
        <w:t xml:space="preserve"> </w:t>
      </w:r>
      <w:r w:rsidR="005026D9" w:rsidRPr="00807368">
        <w:rPr>
          <w:rStyle w:val="fontstyle01"/>
          <w:rFonts w:asciiTheme="majorBidi" w:hAnsiTheme="majorBidi" w:cstheme="majorBidi"/>
          <w:sz w:val="24"/>
          <w:szCs w:val="24"/>
        </w:rPr>
        <w:t>a</w:t>
      </w:r>
      <w:r w:rsidR="006D3F7B" w:rsidRPr="00807368">
        <w:rPr>
          <w:rStyle w:val="fontstyle01"/>
          <w:rFonts w:asciiTheme="majorBidi" w:hAnsiTheme="majorBidi" w:cstheme="majorBidi"/>
          <w:sz w:val="24"/>
          <w:szCs w:val="24"/>
        </w:rPr>
        <w:t xml:space="preserve">voidance </w:t>
      </w:r>
      <w:r w:rsidR="00C21FED" w:rsidRPr="00807368">
        <w:rPr>
          <w:rStyle w:val="fontstyle01"/>
          <w:rFonts w:asciiTheme="majorBidi" w:hAnsiTheme="majorBidi" w:cstheme="majorBidi"/>
          <w:sz w:val="24"/>
          <w:szCs w:val="24"/>
        </w:rPr>
        <w:t>memory</w:t>
      </w:r>
      <w:r w:rsidR="006D3F7B" w:rsidRPr="00807368">
        <w:rPr>
          <w:rStyle w:val="fontstyle01"/>
          <w:rFonts w:asciiTheme="majorBidi" w:hAnsiTheme="majorBidi" w:cstheme="majorBidi"/>
          <w:sz w:val="24"/>
          <w:szCs w:val="24"/>
        </w:rPr>
        <w:t xml:space="preserve"> but not investigation memory</w:t>
      </w:r>
      <w:r w:rsidR="00C21FED" w:rsidRPr="00807368">
        <w:rPr>
          <w:rStyle w:val="fontstyle01"/>
          <w:rFonts w:asciiTheme="majorBidi" w:hAnsiTheme="majorBidi" w:cstheme="majorBidi"/>
          <w:sz w:val="24"/>
          <w:szCs w:val="24"/>
        </w:rPr>
        <w:t>.</w:t>
      </w:r>
      <w:r w:rsidR="00721716" w:rsidRPr="00807368">
        <w:rPr>
          <w:rStyle w:val="fontstyle01"/>
          <w:rFonts w:asciiTheme="majorBidi" w:hAnsiTheme="majorBidi" w:cstheme="majorBidi"/>
          <w:sz w:val="24"/>
          <w:szCs w:val="24"/>
        </w:rPr>
        <w:t xml:space="preserve"> </w:t>
      </w:r>
      <w:r w:rsidR="00721716" w:rsidRPr="00807368">
        <w:rPr>
          <w:rStyle w:val="fontstyle01"/>
          <w:rFonts w:asciiTheme="majorBidi" w:hAnsiTheme="majorBidi" w:cstheme="majorBidi"/>
          <w:sz w:val="24"/>
          <w:szCs w:val="24"/>
          <w:lang w:bidi="fa-IR"/>
        </w:rPr>
        <w:t>IGF-II was no</w:t>
      </w:r>
      <w:r w:rsidR="001B34E7" w:rsidRPr="00807368">
        <w:rPr>
          <w:rStyle w:val="fontstyle01"/>
          <w:rFonts w:asciiTheme="majorBidi" w:hAnsiTheme="majorBidi" w:cstheme="majorBidi"/>
          <w:sz w:val="24"/>
          <w:szCs w:val="24"/>
          <w:lang w:bidi="fa-IR"/>
        </w:rPr>
        <w:t>t</w:t>
      </w:r>
      <w:r w:rsidR="00721716" w:rsidRPr="00807368">
        <w:rPr>
          <w:rStyle w:val="fontstyle01"/>
          <w:rFonts w:asciiTheme="majorBidi" w:hAnsiTheme="majorBidi" w:cstheme="majorBidi"/>
          <w:sz w:val="24"/>
          <w:szCs w:val="24"/>
          <w:lang w:bidi="fa-IR"/>
        </w:rPr>
        <w:t xml:space="preserve"> effect</w:t>
      </w:r>
      <w:r w:rsidR="001B34E7" w:rsidRPr="00807368">
        <w:rPr>
          <w:rStyle w:val="fontstyle01"/>
          <w:rFonts w:asciiTheme="majorBidi" w:hAnsiTheme="majorBidi" w:cstheme="majorBidi"/>
          <w:sz w:val="24"/>
          <w:szCs w:val="24"/>
          <w:lang w:bidi="fa-IR"/>
        </w:rPr>
        <w:t>ive</w:t>
      </w:r>
      <w:r w:rsidR="00721716" w:rsidRPr="00807368">
        <w:rPr>
          <w:rStyle w:val="fontstyle01"/>
          <w:rFonts w:asciiTheme="majorBidi" w:hAnsiTheme="majorBidi" w:cstheme="majorBidi"/>
          <w:sz w:val="24"/>
          <w:szCs w:val="24"/>
          <w:lang w:bidi="fa-IR"/>
        </w:rPr>
        <w:t xml:space="preserve"> on locomotor activity.</w:t>
      </w:r>
      <w:r w:rsidR="00C21FED" w:rsidRPr="00807368">
        <w:rPr>
          <w:rFonts w:asciiTheme="majorBidi" w:hAnsiTheme="majorBidi" w:cstheme="majorBidi"/>
          <w:sz w:val="24"/>
          <w:szCs w:val="24"/>
        </w:rPr>
        <w:t xml:space="preserve"> </w:t>
      </w:r>
      <w:r w:rsidR="00721716" w:rsidRPr="00807368">
        <w:rPr>
          <w:rStyle w:val="fontstyle01"/>
          <w:rFonts w:asciiTheme="majorBidi" w:hAnsiTheme="majorBidi" w:cstheme="majorBidi"/>
          <w:sz w:val="24"/>
          <w:szCs w:val="24"/>
        </w:rPr>
        <w:t>It seems that the reduction of the level of IGF-II gene expression</w:t>
      </w:r>
      <w:r w:rsidR="00721716" w:rsidRPr="00807368">
        <w:rPr>
          <w:rStyle w:val="fontstyle01"/>
          <w:rFonts w:asciiTheme="majorBidi" w:hAnsiTheme="majorBidi" w:cstheme="majorBidi"/>
          <w:sz w:val="24"/>
          <w:szCs w:val="24"/>
          <w:rtl/>
        </w:rPr>
        <w:t xml:space="preserve"> </w:t>
      </w:r>
      <w:r w:rsidR="001B34E7" w:rsidRPr="00807368">
        <w:rPr>
          <w:rStyle w:val="fontstyle01"/>
          <w:rFonts w:asciiTheme="majorBidi" w:hAnsiTheme="majorBidi" w:cstheme="majorBidi"/>
          <w:sz w:val="24"/>
          <w:szCs w:val="24"/>
        </w:rPr>
        <w:t>is not</w:t>
      </w:r>
      <w:r w:rsidR="00721716" w:rsidRPr="00807368">
        <w:rPr>
          <w:rStyle w:val="fontstyle01"/>
          <w:rFonts w:asciiTheme="majorBidi" w:hAnsiTheme="majorBidi" w:cstheme="majorBidi"/>
          <w:sz w:val="24"/>
          <w:szCs w:val="24"/>
        </w:rPr>
        <w:t xml:space="preserve"> related with memory improvement.</w:t>
      </w:r>
      <w:r w:rsidR="00C21FED" w:rsidRPr="00807368">
        <w:rPr>
          <w:rStyle w:val="fontstyle01"/>
          <w:rFonts w:asciiTheme="majorBidi" w:hAnsiTheme="majorBidi" w:cstheme="majorBidi"/>
          <w:sz w:val="24"/>
          <w:szCs w:val="24"/>
        </w:rPr>
        <w:t xml:space="preserve"> </w:t>
      </w:r>
    </w:p>
    <w:p w:rsidR="00C21FED" w:rsidRPr="00807368" w:rsidRDefault="00C21FED" w:rsidP="00CC6F9B">
      <w:pPr>
        <w:spacing w:line="276" w:lineRule="auto"/>
        <w:jc w:val="both"/>
        <w:rPr>
          <w:rStyle w:val="fontstyle01"/>
          <w:rFonts w:asciiTheme="majorBidi" w:hAnsiTheme="majorBidi" w:cstheme="majorBidi"/>
          <w:sz w:val="24"/>
          <w:szCs w:val="24"/>
        </w:rPr>
      </w:pPr>
      <w:r w:rsidRPr="00807368">
        <w:rPr>
          <w:rStyle w:val="fontstyle01"/>
          <w:rFonts w:asciiTheme="majorBidi" w:hAnsiTheme="majorBidi" w:cstheme="majorBidi"/>
          <w:b/>
          <w:bCs/>
          <w:sz w:val="24"/>
          <w:szCs w:val="24"/>
        </w:rPr>
        <w:t>Keyword</w:t>
      </w:r>
      <w:r w:rsidR="001E32A6" w:rsidRPr="00807368">
        <w:rPr>
          <w:rStyle w:val="fontstyle01"/>
          <w:rFonts w:asciiTheme="majorBidi" w:hAnsiTheme="majorBidi" w:cstheme="majorBidi"/>
          <w:b/>
          <w:bCs/>
          <w:sz w:val="24"/>
          <w:szCs w:val="24"/>
        </w:rPr>
        <w:t>s</w:t>
      </w:r>
      <w:r w:rsidRPr="00807368">
        <w:rPr>
          <w:rStyle w:val="fontstyle01"/>
          <w:rFonts w:asciiTheme="majorBidi" w:hAnsiTheme="majorBidi" w:cstheme="majorBidi"/>
          <w:b/>
          <w:bCs/>
          <w:sz w:val="24"/>
          <w:szCs w:val="24"/>
        </w:rPr>
        <w:t>:</w:t>
      </w:r>
      <w:r w:rsidRPr="00807368">
        <w:rPr>
          <w:rStyle w:val="fontstyle01"/>
          <w:rFonts w:asciiTheme="majorBidi" w:hAnsiTheme="majorBidi" w:cstheme="majorBidi"/>
          <w:sz w:val="24"/>
          <w:szCs w:val="24"/>
        </w:rPr>
        <w:t xml:space="preserve"> </w:t>
      </w:r>
      <w:r w:rsidR="00F177B2" w:rsidRPr="00807368">
        <w:rPr>
          <w:rStyle w:val="fontstyle01"/>
          <w:rFonts w:asciiTheme="majorBidi" w:hAnsiTheme="majorBidi" w:cstheme="majorBidi"/>
          <w:sz w:val="24"/>
          <w:szCs w:val="24"/>
        </w:rPr>
        <w:t>I</w:t>
      </w:r>
      <w:r w:rsidRPr="00807368">
        <w:rPr>
          <w:rStyle w:val="fontstyle01"/>
          <w:rFonts w:asciiTheme="majorBidi" w:hAnsiTheme="majorBidi" w:cstheme="majorBidi"/>
          <w:sz w:val="24"/>
          <w:szCs w:val="24"/>
        </w:rPr>
        <w:t>ntracerebral hemorrhage</w:t>
      </w:r>
      <w:r w:rsidR="000636C0" w:rsidRPr="00807368">
        <w:rPr>
          <w:rStyle w:val="fontstyle01"/>
          <w:rFonts w:asciiTheme="majorBidi" w:hAnsiTheme="majorBidi" w:cstheme="majorBidi"/>
          <w:sz w:val="24"/>
          <w:szCs w:val="24"/>
        </w:rPr>
        <w:t>;</w:t>
      </w:r>
      <w:r w:rsidRPr="00807368">
        <w:rPr>
          <w:rStyle w:val="fontstyle01"/>
          <w:rFonts w:asciiTheme="majorBidi" w:hAnsiTheme="majorBidi" w:cstheme="majorBidi"/>
          <w:sz w:val="24"/>
          <w:szCs w:val="24"/>
        </w:rPr>
        <w:t xml:space="preserve"> IGF-II</w:t>
      </w:r>
      <w:r w:rsidR="000636C0" w:rsidRPr="00807368">
        <w:rPr>
          <w:rStyle w:val="fontstyle01"/>
          <w:rFonts w:asciiTheme="majorBidi" w:hAnsiTheme="majorBidi" w:cstheme="majorBidi"/>
          <w:sz w:val="24"/>
          <w:szCs w:val="24"/>
        </w:rPr>
        <w:t>;</w:t>
      </w:r>
      <w:r w:rsidRPr="00807368">
        <w:rPr>
          <w:rStyle w:val="fontstyle01"/>
          <w:rFonts w:asciiTheme="majorBidi" w:hAnsiTheme="majorBidi" w:cstheme="majorBidi"/>
          <w:sz w:val="24"/>
          <w:szCs w:val="24"/>
        </w:rPr>
        <w:t xml:space="preserve"> </w:t>
      </w:r>
      <w:r w:rsidR="00F177B2" w:rsidRPr="00807368">
        <w:rPr>
          <w:rStyle w:val="fontstyle01"/>
          <w:rFonts w:asciiTheme="majorBidi" w:hAnsiTheme="majorBidi" w:cstheme="majorBidi"/>
          <w:sz w:val="24"/>
          <w:szCs w:val="24"/>
        </w:rPr>
        <w:t>L</w:t>
      </w:r>
      <w:r w:rsidR="00F96397" w:rsidRPr="00807368">
        <w:rPr>
          <w:rStyle w:val="fontstyle01"/>
          <w:rFonts w:asciiTheme="majorBidi" w:hAnsiTheme="majorBidi" w:cstheme="majorBidi"/>
          <w:sz w:val="24"/>
          <w:szCs w:val="24"/>
        </w:rPr>
        <w:t>earning</w:t>
      </w:r>
      <w:r w:rsidR="000636C0" w:rsidRPr="00807368">
        <w:rPr>
          <w:rStyle w:val="fontstyle01"/>
          <w:rFonts w:asciiTheme="majorBidi" w:hAnsiTheme="majorBidi" w:cstheme="majorBidi"/>
          <w:sz w:val="24"/>
          <w:szCs w:val="24"/>
        </w:rPr>
        <w:t xml:space="preserve"> and</w:t>
      </w:r>
      <w:r w:rsidR="00F96397" w:rsidRPr="00807368">
        <w:rPr>
          <w:rStyle w:val="fontstyle01"/>
          <w:rFonts w:asciiTheme="majorBidi" w:hAnsiTheme="majorBidi" w:cstheme="majorBidi"/>
          <w:sz w:val="24"/>
          <w:szCs w:val="24"/>
        </w:rPr>
        <w:t xml:space="preserve"> </w:t>
      </w:r>
      <w:r w:rsidR="00F177B2" w:rsidRPr="00807368">
        <w:rPr>
          <w:rStyle w:val="fontstyle01"/>
          <w:rFonts w:asciiTheme="majorBidi" w:hAnsiTheme="majorBidi" w:cstheme="majorBidi"/>
          <w:sz w:val="24"/>
          <w:szCs w:val="24"/>
        </w:rPr>
        <w:t>M</w:t>
      </w:r>
      <w:r w:rsidRPr="00807368">
        <w:rPr>
          <w:rStyle w:val="fontstyle01"/>
          <w:rFonts w:asciiTheme="majorBidi" w:hAnsiTheme="majorBidi" w:cstheme="majorBidi"/>
          <w:sz w:val="24"/>
          <w:szCs w:val="24"/>
        </w:rPr>
        <w:t>emory</w:t>
      </w:r>
      <w:r w:rsidR="000636C0" w:rsidRPr="00807368">
        <w:rPr>
          <w:rStyle w:val="fontstyle01"/>
          <w:rFonts w:asciiTheme="majorBidi" w:hAnsiTheme="majorBidi" w:cstheme="majorBidi"/>
          <w:sz w:val="24"/>
          <w:szCs w:val="24"/>
        </w:rPr>
        <w:t>;</w:t>
      </w:r>
      <w:r w:rsidR="001E32A6" w:rsidRPr="00807368">
        <w:rPr>
          <w:rFonts w:asciiTheme="majorBidi" w:hAnsiTheme="majorBidi" w:cstheme="majorBidi"/>
          <w:color w:val="000000" w:themeColor="text1"/>
          <w:sz w:val="24"/>
          <w:szCs w:val="24"/>
        </w:rPr>
        <w:t xml:space="preserve"> </w:t>
      </w:r>
      <w:r w:rsidR="00F177B2" w:rsidRPr="00807368">
        <w:rPr>
          <w:rStyle w:val="fontstyle01"/>
          <w:rFonts w:asciiTheme="majorBidi" w:hAnsiTheme="majorBidi" w:cstheme="majorBidi"/>
          <w:sz w:val="24"/>
          <w:szCs w:val="24"/>
        </w:rPr>
        <w:t>H</w:t>
      </w:r>
      <w:r w:rsidRPr="00807368">
        <w:rPr>
          <w:rStyle w:val="fontstyle01"/>
          <w:rFonts w:asciiTheme="majorBidi" w:hAnsiTheme="majorBidi" w:cstheme="majorBidi"/>
          <w:sz w:val="24"/>
          <w:szCs w:val="24"/>
        </w:rPr>
        <w:t>ippocampus</w:t>
      </w:r>
      <w:r w:rsidR="00E2321F" w:rsidRPr="00807368">
        <w:rPr>
          <w:rStyle w:val="fontstyle01"/>
          <w:rFonts w:asciiTheme="majorBidi" w:hAnsiTheme="majorBidi" w:cstheme="majorBidi"/>
          <w:sz w:val="24"/>
          <w:szCs w:val="24"/>
        </w:rPr>
        <w:t>; Rats</w:t>
      </w:r>
      <w:r w:rsidR="002D185F" w:rsidRPr="00807368">
        <w:rPr>
          <w:rStyle w:val="fontstyle01"/>
          <w:rFonts w:asciiTheme="majorBidi" w:hAnsiTheme="majorBidi" w:cstheme="majorBidi"/>
          <w:sz w:val="24"/>
          <w:szCs w:val="24"/>
        </w:rPr>
        <w:t xml:space="preserve"> </w:t>
      </w:r>
    </w:p>
    <w:p w:rsidR="00A511D5" w:rsidRPr="00807368" w:rsidRDefault="00A511D5" w:rsidP="00925FD4">
      <w:pPr>
        <w:spacing w:line="276" w:lineRule="auto"/>
        <w:rPr>
          <w:rFonts w:asciiTheme="majorBidi" w:hAnsiTheme="majorBidi" w:cstheme="majorBidi"/>
          <w:b/>
          <w:bCs/>
          <w:sz w:val="24"/>
          <w:szCs w:val="24"/>
          <w:rtl/>
        </w:rPr>
      </w:pPr>
      <w:r w:rsidRPr="00807368">
        <w:rPr>
          <w:rFonts w:asciiTheme="majorBidi" w:hAnsiTheme="majorBidi" w:cstheme="majorBidi"/>
          <w:b/>
          <w:bCs/>
          <w:sz w:val="24"/>
          <w:szCs w:val="24"/>
        </w:rPr>
        <w:t>Introduction:</w:t>
      </w:r>
    </w:p>
    <w:p w:rsidR="00A511D5" w:rsidRPr="00807368" w:rsidRDefault="00A511D5" w:rsidP="00925FD4">
      <w:pPr>
        <w:spacing w:line="276" w:lineRule="auto"/>
        <w:jc w:val="both"/>
        <w:rPr>
          <w:rFonts w:asciiTheme="majorBidi" w:hAnsiTheme="majorBidi" w:cstheme="majorBidi"/>
          <w:sz w:val="24"/>
          <w:szCs w:val="24"/>
        </w:rPr>
      </w:pPr>
      <w:r w:rsidRPr="00807368">
        <w:rPr>
          <w:rFonts w:asciiTheme="majorBidi" w:hAnsiTheme="majorBidi" w:cstheme="majorBidi"/>
          <w:sz w:val="24"/>
          <w:szCs w:val="24"/>
        </w:rPr>
        <w:t xml:space="preserve">Memory impairment is a debilitating factor in many diseases such as stroke, trauma, neuro-inflammatory and neurodegeneration diseases; it is also time-consuming and costly in today’s society </w:t>
      </w:r>
      <w:r w:rsidR="0073523B" w:rsidRPr="00807368">
        <w:rPr>
          <w:rFonts w:asciiTheme="majorBidi" w:hAnsiTheme="majorBidi" w:cstheme="majorBidi"/>
          <w:sz w:val="24"/>
          <w:szCs w:val="24"/>
        </w:rPr>
        <w:fldChar w:fldCharType="begin" w:fldLock="1"/>
      </w:r>
      <w:r w:rsidR="00770076">
        <w:rPr>
          <w:rFonts w:asciiTheme="majorBidi" w:hAnsiTheme="majorBidi" w:cstheme="majorBidi"/>
          <w:sz w:val="24"/>
          <w:szCs w:val="24"/>
        </w:rPr>
        <w:instrText>ADDIN CSL_CITATION {"citationItems":[{"id":"ITEM-1","itemData":{"DOI":"10.1038/npp.2014.69","ISBN":"1740-634X (Electronic)\\r0006-3223 (Linking)","ISSN":"1740634X","PMID":"24642597","abstract":"To treat cognitive disorders in humans, new effective therapies that can be easily delivered systemically are needed. Previous studies showed that a bilateral injection of insulin-like growth factor II (IGF-II) into the dorsal hippocampus of rats or mice enhances fear memories and facilitates fear extinction. Here, we report that, in mice, systemic treatments with IGF-II given before training significantly enhance the retention and persistence of several types of working, short-term and long-term memories, including fear conditioning, object recognition, object placement, social recognition, and spatial reference memory. IGF-II-mediated memory enhancement does not alter memory flexibility or the ability for new learning and also occurs when IGF-II treatment is given in concert with memory retrieval. Thus IGF-II may represent a potentially important and effective treatment for enhancing human cognitive and executive functions.","author":[{"dropping-particle":"","family":"Stern","given":"Sarah A","non-dropping-particle":"","parse-names":false,"suffix":""},{"dropping-particle":"","family":"Kohtz","given":"Amy S","non-dropping-particle":"","parse-names":false,"suffix":""},{"dropping-particle":"","family":"Pollonini","given":"Gabriella","non-dropping-particle":"","parse-names":false,"suffix":""},{"dropping-particle":"","family":"Alberini","given":"Cristina M","non-dropping-particle":"","parse-names":false,"suffix":""}],"container-title":"Neuropsychopharmacology","id":"ITEM-1","issue":"9","issued":{"date-parts":[["2014","8","19"]]},"page":"2179-2190","title":"Enhancement of memories by systemic administration of insulin-like growth factor II","type":"article-journal","volume":"39"},"uris":["http://www.mendeley.com/documents/?uuid=3f601c5e-f8b0-3f65-8c2d-d13e3a7e3167"]}],"mendeley":{"formattedCitation":"[1]","plainTextFormattedCitation":"[1]","previouslyFormattedCitation":"(1)"},"properties":{"noteIndex":0},"schema":"https://github.com/citation-style-language/schema/raw/master/csl-citation.json"}</w:instrText>
      </w:r>
      <w:r w:rsidR="0073523B" w:rsidRPr="00807368">
        <w:rPr>
          <w:rFonts w:asciiTheme="majorBidi" w:hAnsiTheme="majorBidi" w:cstheme="majorBidi"/>
          <w:sz w:val="24"/>
          <w:szCs w:val="24"/>
        </w:rPr>
        <w:fldChar w:fldCharType="separate"/>
      </w:r>
      <w:r w:rsidR="00770076" w:rsidRPr="00770076">
        <w:rPr>
          <w:rFonts w:asciiTheme="majorBidi" w:hAnsiTheme="majorBidi" w:cstheme="majorBidi"/>
          <w:noProof/>
          <w:sz w:val="24"/>
          <w:szCs w:val="24"/>
        </w:rPr>
        <w:t>[1]</w:t>
      </w:r>
      <w:r w:rsidR="0073523B" w:rsidRPr="00807368">
        <w:rPr>
          <w:rFonts w:asciiTheme="majorBidi" w:hAnsiTheme="majorBidi" w:cstheme="majorBidi"/>
          <w:sz w:val="24"/>
          <w:szCs w:val="24"/>
        </w:rPr>
        <w:fldChar w:fldCharType="end"/>
      </w:r>
      <w:r w:rsidRPr="00807368">
        <w:rPr>
          <w:rFonts w:asciiTheme="majorBidi" w:hAnsiTheme="majorBidi" w:cstheme="majorBidi"/>
          <w:sz w:val="24"/>
          <w:szCs w:val="24"/>
        </w:rPr>
        <w:t xml:space="preserve">. </w:t>
      </w:r>
      <w:r w:rsidRPr="00807368">
        <w:rPr>
          <w:rFonts w:asciiTheme="majorBidi" w:hAnsiTheme="majorBidi" w:cstheme="majorBidi"/>
          <w:sz w:val="24"/>
          <w:szCs w:val="24"/>
          <w:lang w:bidi="fa-IR"/>
        </w:rPr>
        <w:t xml:space="preserve">In hemorrhagic stroke, blood pressure or trauma causes blood vessel rupture, intracerebral hemorrhage, and brain damage and when this damage is in the hippocampus, it causes disabling memory disorder in patients </w:t>
      </w:r>
      <w:r w:rsidR="0073523B" w:rsidRPr="00807368">
        <w:rPr>
          <w:rFonts w:asciiTheme="majorBidi" w:hAnsiTheme="majorBidi" w:cstheme="majorBidi"/>
          <w:sz w:val="24"/>
          <w:szCs w:val="24"/>
          <w:lang w:bidi="fa-IR"/>
        </w:rPr>
        <w:fldChar w:fldCharType="begin" w:fldLock="1"/>
      </w:r>
      <w:r w:rsidR="00770076">
        <w:rPr>
          <w:rFonts w:asciiTheme="majorBidi" w:hAnsiTheme="majorBidi" w:cstheme="majorBidi"/>
          <w:sz w:val="24"/>
          <w:szCs w:val="24"/>
          <w:lang w:bidi="fa-IR"/>
        </w:rPr>
        <w:instrText>ADDIN CSL_CITATION {"citationItems":[{"id":"ITEM-1","itemData":{"DOI":"10.1212/01.CON.0000415430.99394.3e","ISSN":"1080-2371","PMID":"22810251","abstract":"PURPOSE OF REVIEW This article provides an update on the latest diagnostic and therapeutic trials relating to the management of intracerebral hemorrhage (ICH). RECENT FINDINGS Early hematoma expansion and worsening cerebral edema may account for delayed neurologic deterioration after ICH. SUMMARY Despite advances in other areas of stroke, there has been no significant improvement in the morbidity and mortality after ICH. The cause of ICH has been shifting from chronic hypertension to other etiologies. Current understanding of the pathophysiologic processes involved with hematoma expansion and the development of secondary injury after ICH has focused the treatment strategies on prevention of these potential complications. Care for the patient after ICH includes basic medical care, prevention of hematoma expansion, and treatment of potential secondary complications. Trials are underway to evaluate the effect of acute blood pressure control on hematoma expansion and the development of cerebral edema. Similarly, new surgical techniques are being explored for clot removal, and medical therapies are being developed to prevent secondary neurotoxic damage.","author":[{"dropping-particle":"","family":"Manno","given":"Edward M.","non-dropping-particle":"","parse-names":false,"suffix":""}],"container-title":"CONTINUUM: Lifelong Learning in Neurology","id":"ITEM-1","issue":"3","issued":{"date-parts":[["2012","6"]]},"page":"598-610","title":"Update on Intracerebral Hemorrhage","type":"article-journal","volume":"18"},"uris":["http://www.mendeley.com/documents/?uuid=6f8768a1-a3af-362c-a37d-399fa75e029f"]},{"id":"ITEM-2","itemData":{"DOI":"10.1038/nprot.2007.513","ISSN":"1754-2189","PMID":"18193028","abstract":"The development of controllable and reproducible animal models of intracerebral hemorrhage (ICH) is essential for the systematic study of the pathophysiology and treatment of hemorrhagic stroke. In recent years, we have used a modified version of a murine ICH model to inject blood into mouse basal ganglia. According to our protocol, autologous blood is stereotactically infused in two stages into the right striatum to mimic the natural events of hemorrhagic stroke. Following ICH induction, animals demonstrate reproducible hematomas, brain edema formation and marked neurological deficits. Our technique has proven to be a reliable and reproducible means of creating ICH in mice in a number of acute and chronic studies. We believe that our model will serve as an ideal paradigm for investigating the complex pathophysiology of hemorrhagic stroke. The protocol for establishing this model takes about 2 h.","author":[{"dropping-particle":"","family":"Rynkowski","given":"Michal A","non-dropping-particle":"","parse-names":false,"suffix":""},{"dropping-particle":"","family":"Kim","given":"Grace H","non-dropping-particle":"","parse-names":false,"suffix":""},{"dropping-particle":"","family":"Komotar","given":"Ricardo J","non-dropping-particle":"","parse-names":false,"suffix":""},{"dropping-particle":"","family":"Otten","given":"Marc L","non-dropping-particle":"","parse-names":false,"suffix":""},{"dropping-particle":"","family":"Ducruet","given":"Andrew F","non-dropping-particle":"","parse-names":false,"suffix":""},{"dropping-particle":"","family":"Zacharia","given":"Brad E","non-dropping-particle":"","parse-names":false,"suffix":""},{"dropping-particle":"","family":"Kellner","given":"Christopher P","non-dropping-particle":"","parse-names":false,"suffix":""},{"dropping-particle":"","family":"Hahn","given":"David K","non-dropping-particle":"","parse-names":false,"suffix":""},{"dropping-particle":"","family":"Merkow","given":"Maxwell B","non-dropping-particle":"","parse-names":false,"suffix":""},{"dropping-particle":"","family":"Garrett","given":"Matthew C","non-dropping-particle":"","parse-names":false,"suffix":""},{"dropping-particle":"","family":"Starke","given":"Robert M","non-dropping-particle":"","parse-names":false,"suffix":""},{"dropping-particle":"","family":"Cho","given":"Byung-Moon","non-dropping-particle":"","parse-names":false,"suffix":""},{"dropping-particle":"","family":"Sosunov","given":"Sergei A","non-dropping-particle":"","parse-names":false,"suffix":""},{"dropping-particle":"","family":"Connolly","given":"E Sander","non-dropping-particle":"","parse-names":false,"suffix":""}],"container-title":"Nature Protocols","id":"ITEM-2","issue":"1","issued":{"date-parts":[["2008","1","1"]]},"page":"122-128","title":"A mouse model of intracerebral hemorrhage using autologous blood infusion","type":"article-journal","volume":"3"},"uris":["http://www.mendeley.com/documents/?uuid=c7a5b614-79e2-35b2-9eed-1f44d9e7da24"]}],"mendeley":{"formattedCitation":"[2,3]","plainTextFormattedCitation":"[2,3]","previouslyFormattedCitation":"(2,3)"},"properties":{"noteIndex":0},"schema":"https://github.com/citation-style-language/schema/raw/master/csl-citation.json"}</w:instrText>
      </w:r>
      <w:r w:rsidR="0073523B" w:rsidRPr="00807368">
        <w:rPr>
          <w:rFonts w:asciiTheme="majorBidi" w:hAnsiTheme="majorBidi" w:cstheme="majorBidi"/>
          <w:sz w:val="24"/>
          <w:szCs w:val="24"/>
          <w:lang w:bidi="fa-IR"/>
        </w:rPr>
        <w:fldChar w:fldCharType="separate"/>
      </w:r>
      <w:r w:rsidR="00770076" w:rsidRPr="00770076">
        <w:rPr>
          <w:rFonts w:asciiTheme="majorBidi" w:hAnsiTheme="majorBidi" w:cstheme="majorBidi"/>
          <w:noProof/>
          <w:sz w:val="24"/>
          <w:szCs w:val="24"/>
          <w:lang w:bidi="fa-IR"/>
        </w:rPr>
        <w:t>[2,3]</w:t>
      </w:r>
      <w:r w:rsidR="0073523B" w:rsidRPr="00807368">
        <w:rPr>
          <w:rFonts w:asciiTheme="majorBidi" w:hAnsiTheme="majorBidi" w:cstheme="majorBidi"/>
          <w:sz w:val="24"/>
          <w:szCs w:val="24"/>
          <w:lang w:bidi="fa-IR"/>
        </w:rPr>
        <w:fldChar w:fldCharType="end"/>
      </w:r>
      <w:r w:rsidRPr="00807368">
        <w:rPr>
          <w:rFonts w:asciiTheme="majorBidi" w:hAnsiTheme="majorBidi" w:cstheme="majorBidi"/>
          <w:sz w:val="24"/>
          <w:szCs w:val="24"/>
          <w:lang w:bidi="fa-IR"/>
        </w:rPr>
        <w:t xml:space="preserve">. </w:t>
      </w:r>
      <w:r w:rsidR="00832A55" w:rsidRPr="00807368">
        <w:rPr>
          <w:rFonts w:asciiTheme="majorBidi" w:hAnsiTheme="majorBidi" w:cstheme="majorBidi"/>
          <w:color w:val="000000" w:themeColor="text1"/>
          <w:sz w:val="24"/>
          <w:szCs w:val="24"/>
        </w:rPr>
        <w:t>ICH</w:t>
      </w:r>
      <w:r w:rsidRPr="00807368">
        <w:rPr>
          <w:rFonts w:asciiTheme="majorBidi" w:hAnsiTheme="majorBidi" w:cstheme="majorBidi"/>
          <w:color w:val="000000" w:themeColor="text1"/>
          <w:sz w:val="24"/>
          <w:szCs w:val="24"/>
        </w:rPr>
        <w:t xml:space="preserve"> can damage brain through  driven complications of inflammation, upregulated neutrophil infiltration, glial activities, local cytokine imbalance and oxidative stress </w:t>
      </w:r>
      <w:r w:rsidR="0073523B" w:rsidRPr="00807368">
        <w:rPr>
          <w:rFonts w:asciiTheme="majorBidi" w:hAnsiTheme="majorBidi" w:cstheme="majorBidi"/>
          <w:color w:val="000000" w:themeColor="text1"/>
          <w:sz w:val="24"/>
          <w:szCs w:val="24"/>
        </w:rPr>
        <w:fldChar w:fldCharType="begin" w:fldLock="1"/>
      </w:r>
      <w:r w:rsidR="00770076">
        <w:rPr>
          <w:rFonts w:asciiTheme="majorBidi" w:hAnsiTheme="majorBidi" w:cstheme="majorBidi"/>
          <w:color w:val="000000" w:themeColor="text1"/>
          <w:sz w:val="24"/>
          <w:szCs w:val="24"/>
        </w:rPr>
        <w:instrText>ADDIN CSL_CITATION {"citationItems":[{"id":"ITEM-1","itemData":{"DOI":"10.1038/nprot.2007.513","ISSN":"1754-2189","PMID":"18193028","abstract":"The development of controllable and reproducible animal models of intracerebral hemorrhage (ICH) is essential for the systematic study of the pathophysiology and treatment of hemorrhagic stroke. In recent years, we have used a modified version of a murine ICH model to inject blood into mouse basal ganglia. According to our protocol, autologous blood is stereotactically infused in two stages into the right striatum to mimic the natural events of hemorrhagic stroke. Following ICH induction, animals demonstrate reproducible hematomas, brain edema formation and marked neurological deficits. Our technique has proven to be a reliable and reproducible means of creating ICH in mice in a number of acute and chronic studies. We believe that our model will serve as an ideal paradigm for investigating the complex pathophysiology of hemorrhagic stroke. The protocol for establishing this model takes about 2 h.","author":[{"dropping-particle":"","family":"Rynkowski","given":"Michal A","non-dropping-particle":"","parse-names":false,"suffix":""},{"dropping-particle":"","family":"Kim","given":"Grace H","non-dropping-particle":"","parse-names":false,"suffix":""},{"dropping-particle":"","family":"Komotar","given":"Ricardo J","non-dropping-particle":"","parse-names":false,"suffix":""},{"dropping-particle":"","family":"Otten","given":"Marc L","non-dropping-particle":"","parse-names":false,"suffix":""},{"dropping-particle":"","family":"Ducruet","given":"Andrew F","non-dropping-particle":"","parse-names":false,"suffix":""},{"dropping-particle":"","family":"Zacharia","given":"Brad E","non-dropping-particle":"","parse-names":false,"suffix":""},{"dropping-particle":"","family":"Kellner","given":"Christopher P","non-dropping-particle":"","parse-names":false,"suffix":""},{"dropping-particle":"","family":"Hahn","given":"David K","non-dropping-particle":"","parse-names":false,"suffix":""},{"dropping-particle":"","family":"Merkow","given":"Maxwell B","non-dropping-particle":"","parse-names":false,"suffix":""},{"dropping-particle":"","family":"Garrett","given":"Matthew C","non-dropping-particle":"","parse-names":false,"suffix":""},{"dropping-particle":"","family":"Starke","given":"Robert M","non-dropping-particle":"","parse-names":false,"suffix":""},{"dropping-particle":"","family":"Cho","given":"Byung-Moon","non-dropping-particle":"","parse-names":false,"suffix":""},{"dropping-particle":"","family":"Sosunov","given":"Sergei A","non-dropping-particle":"","parse-names":false,"suffix":""},{"dropping-particle":"","family":"Connolly","given":"E Sander","non-dropping-particle":"","parse-names":false,"suffix":""}],"container-title":"Nature Protocols","id":"ITEM-1","issue":"1","issued":{"date-parts":[["2008","1","1"]]},"page":"122-128","title":"A mouse model of intracerebral hemorrhage using autologous blood infusion","type":"article-journal","volume":"3"},"uris":["http://www.mendeley.com/documents/?uuid=c7a5b614-79e2-35b2-9eed-1f44d9e7da24"]},{"id":"ITEM-2","itemData":{"DOI":"10.3892/mmr.2018.8624","ISSN":"1791-2997","PMID":"29484398","abstract":"Pannexins serve an important role in the regulation of extracellular neuronal regenerative currents and cellular signal transduction of glial cells; however, the effects of pannexins in various cerebrovascular diseases have not been reported. The present study focused on the expression and influence of pannexins in a rat model of intracerebral hemorrhage (ICH), and confirmed that pannexins (including Pannexin</w:instrText>
      </w:r>
      <w:r w:rsidR="00770076">
        <w:rPr>
          <w:rFonts w:ascii="Cambria Math" w:hAnsi="Cambria Math" w:cs="Cambria Math"/>
          <w:color w:val="000000" w:themeColor="text1"/>
          <w:sz w:val="24"/>
          <w:szCs w:val="24"/>
        </w:rPr>
        <w:instrText>‑</w:instrText>
      </w:r>
      <w:r w:rsidR="00770076">
        <w:rPr>
          <w:rFonts w:asciiTheme="majorBidi" w:hAnsiTheme="majorBidi" w:cstheme="majorBidi"/>
          <w:color w:val="000000" w:themeColor="text1"/>
          <w:sz w:val="24"/>
          <w:szCs w:val="24"/>
        </w:rPr>
        <w:instrText>1, Pannexin</w:instrText>
      </w:r>
      <w:r w:rsidR="00770076">
        <w:rPr>
          <w:rFonts w:ascii="Cambria Math" w:hAnsi="Cambria Math" w:cs="Cambria Math"/>
          <w:color w:val="000000" w:themeColor="text1"/>
          <w:sz w:val="24"/>
          <w:szCs w:val="24"/>
        </w:rPr>
        <w:instrText>‑</w:instrText>
      </w:r>
      <w:r w:rsidR="00770076">
        <w:rPr>
          <w:rFonts w:asciiTheme="majorBidi" w:hAnsiTheme="majorBidi" w:cstheme="majorBidi"/>
          <w:color w:val="000000" w:themeColor="text1"/>
          <w:sz w:val="24"/>
          <w:szCs w:val="24"/>
        </w:rPr>
        <w:instrText>2 and Pannexin</w:instrText>
      </w:r>
      <w:r w:rsidR="00770076">
        <w:rPr>
          <w:rFonts w:ascii="Cambria Math" w:hAnsi="Cambria Math" w:cs="Cambria Math"/>
          <w:color w:val="000000" w:themeColor="text1"/>
          <w:sz w:val="24"/>
          <w:szCs w:val="24"/>
        </w:rPr>
        <w:instrText>‑</w:instrText>
      </w:r>
      <w:r w:rsidR="00770076">
        <w:rPr>
          <w:rFonts w:asciiTheme="majorBidi" w:hAnsiTheme="majorBidi" w:cstheme="majorBidi"/>
          <w:color w:val="000000" w:themeColor="text1"/>
          <w:sz w:val="24"/>
          <w:szCs w:val="24"/>
        </w:rPr>
        <w:instrText>3) are expressed in rat brain tissues. However, only the expression of Pannexin</w:instrText>
      </w:r>
      <w:r w:rsidR="00770076">
        <w:rPr>
          <w:rFonts w:ascii="Cambria Math" w:hAnsi="Cambria Math" w:cs="Cambria Math"/>
          <w:color w:val="000000" w:themeColor="text1"/>
          <w:sz w:val="24"/>
          <w:szCs w:val="24"/>
        </w:rPr>
        <w:instrText>‑</w:instrText>
      </w:r>
      <w:r w:rsidR="00770076">
        <w:rPr>
          <w:rFonts w:asciiTheme="majorBidi" w:hAnsiTheme="majorBidi" w:cstheme="majorBidi"/>
          <w:color w:val="000000" w:themeColor="text1"/>
          <w:sz w:val="24"/>
          <w:szCs w:val="24"/>
        </w:rPr>
        <w:instrText>1 was significantly increased and peaked 48</w:instrText>
      </w:r>
      <w:r w:rsidR="00770076">
        <w:rPr>
          <w:rFonts w:ascii="Times New Roman" w:hAnsi="Times New Roman" w:cs="Times New Roman"/>
          <w:color w:val="000000" w:themeColor="text1"/>
          <w:sz w:val="24"/>
          <w:szCs w:val="24"/>
        </w:rPr>
        <w:instrText> </w:instrText>
      </w:r>
      <w:r w:rsidR="00770076">
        <w:rPr>
          <w:rFonts w:asciiTheme="majorBidi" w:hAnsiTheme="majorBidi" w:cstheme="majorBidi"/>
          <w:color w:val="000000" w:themeColor="text1"/>
          <w:sz w:val="24"/>
          <w:szCs w:val="24"/>
        </w:rPr>
        <w:instrText>h post</w:instrText>
      </w:r>
      <w:r w:rsidR="00770076">
        <w:rPr>
          <w:rFonts w:ascii="Cambria Math" w:hAnsi="Cambria Math" w:cs="Cambria Math"/>
          <w:color w:val="000000" w:themeColor="text1"/>
          <w:sz w:val="24"/>
          <w:szCs w:val="24"/>
        </w:rPr>
        <w:instrText>‑</w:instrText>
      </w:r>
      <w:r w:rsidR="00770076">
        <w:rPr>
          <w:rFonts w:asciiTheme="majorBidi" w:hAnsiTheme="majorBidi" w:cstheme="majorBidi"/>
          <w:color w:val="000000" w:themeColor="text1"/>
          <w:sz w:val="24"/>
          <w:szCs w:val="24"/>
        </w:rPr>
        <w:instrText>ICH. Following treatment with carbenoxolone (CBX), which is an inhibitor of Pannexin</w:instrText>
      </w:r>
      <w:r w:rsidR="00770076">
        <w:rPr>
          <w:rFonts w:ascii="Cambria Math" w:hAnsi="Cambria Math" w:cs="Cambria Math"/>
          <w:color w:val="000000" w:themeColor="text1"/>
          <w:sz w:val="24"/>
          <w:szCs w:val="24"/>
        </w:rPr>
        <w:instrText>‑</w:instrText>
      </w:r>
      <w:r w:rsidR="00770076">
        <w:rPr>
          <w:rFonts w:asciiTheme="majorBidi" w:hAnsiTheme="majorBidi" w:cstheme="majorBidi"/>
          <w:color w:val="000000" w:themeColor="text1"/>
          <w:sz w:val="24"/>
          <w:szCs w:val="24"/>
        </w:rPr>
        <w:instrText>1, apoptosis and neuronal degeneration in the brain tissues around the ICH hematoma decreased. The extent of secondary brain injury due to ICH was also alleviated. Compared with rats in the ICH</w:instrText>
      </w:r>
      <w:r w:rsidR="00770076">
        <w:rPr>
          <w:rFonts w:ascii="Cambria Math" w:hAnsi="Cambria Math" w:cs="Cambria Math"/>
          <w:color w:val="000000" w:themeColor="text1"/>
          <w:sz w:val="24"/>
          <w:szCs w:val="24"/>
        </w:rPr>
        <w:instrText>‑</w:instrText>
      </w:r>
      <w:r w:rsidR="00770076">
        <w:rPr>
          <w:rFonts w:asciiTheme="majorBidi" w:hAnsiTheme="majorBidi" w:cstheme="majorBidi"/>
          <w:color w:val="000000" w:themeColor="text1"/>
          <w:sz w:val="24"/>
          <w:szCs w:val="24"/>
        </w:rPr>
        <w:instrText>only group, recovery of neurocognitive functions improved significantly in the CBX</w:instrText>
      </w:r>
      <w:r w:rsidR="00770076">
        <w:rPr>
          <w:rFonts w:ascii="Cambria Math" w:hAnsi="Cambria Math" w:cs="Cambria Math"/>
          <w:color w:val="000000" w:themeColor="text1"/>
          <w:sz w:val="24"/>
          <w:szCs w:val="24"/>
        </w:rPr>
        <w:instrText>‑</w:instrText>
      </w:r>
      <w:r w:rsidR="00770076">
        <w:rPr>
          <w:rFonts w:asciiTheme="majorBidi" w:hAnsiTheme="majorBidi" w:cstheme="majorBidi"/>
          <w:color w:val="000000" w:themeColor="text1"/>
          <w:sz w:val="24"/>
          <w:szCs w:val="24"/>
        </w:rPr>
        <w:instrText>treated groups. Results from the present study suggested that the upregulation of Pannexin</w:instrText>
      </w:r>
      <w:r w:rsidR="00770076">
        <w:rPr>
          <w:rFonts w:ascii="Cambria Math" w:hAnsi="Cambria Math" w:cs="Cambria Math"/>
          <w:color w:val="000000" w:themeColor="text1"/>
          <w:sz w:val="24"/>
          <w:szCs w:val="24"/>
        </w:rPr>
        <w:instrText>‑</w:instrText>
      </w:r>
      <w:r w:rsidR="00770076">
        <w:rPr>
          <w:rFonts w:asciiTheme="majorBidi" w:hAnsiTheme="majorBidi" w:cstheme="majorBidi"/>
          <w:color w:val="000000" w:themeColor="text1"/>
          <w:sz w:val="24"/>
          <w:szCs w:val="24"/>
        </w:rPr>
        <w:instrText>1 expression may be involved in apoptosis and degeneration of neurons in the rat brain following ICH, and may contribute to subsequent cognitive dysfunction.","author":[{"dropping-particle":"","family":"Zhou","given":"Linqiang","non-dropping-particle":"","parse-names":false,"suffix":""},{"dropping-particle":"","family":"Liu","given":"Chenglin","non-dropping-particle":"","parse-names":false,"suffix":""},{"dropping-particle":"","family":"Wang","given":"Zhong","non-dropping-particle":"","parse-names":false,"suffix":""},{"dropping-particle":"","family":"Shen","given":"Haitao","non-dropping-particle":"","parse-names":false,"suffix":""},{"dropping-particle":"","family":"Wen","given":"Zunjia","non-dropping-particle":"","parse-names":false,"suffix":""},{"dropping-particle":"","family":"Chen","given":"Dongdong","non-dropping-particle":"","parse-names":false,"suffix":""},{"dropping-particle":"","family":"Sun","given":"Qing","non-dropping-particle":"","parse-names":false,"suffix":""},{"dropping-particle":"","family":"Chen","given":"Gang","non-dropping-particle":"","parse-names":false,"suffix":""}],"container-title":"Molecular Medicine Reports","id":"ITEM-2","issue":"4","issued":{"date-parts":[["2018","2","21"]]},"page":"5684-5691","title":"Pannexin-1 is involved in neuronal apoptosis and degeneration in experimental intracerebral hemorrhage in rats","type":"article-journal","volume":"17"},"uris":["http://www.mendeley.com/documents/?uuid=eacd4150-4e24-3c56-b805-cf928851fcd1"]}],"mendeley":{"formattedCitation":"[3,4]","plainTextFormattedCitation":"[3,4]","previouslyFormattedCitation":"(3,4)"},"properties":{"noteIndex":0},"schema":"https://github.com/citation-style-language/schema/raw/master/csl-citation.json"}</w:instrText>
      </w:r>
      <w:r w:rsidR="0073523B" w:rsidRPr="00807368">
        <w:rPr>
          <w:rFonts w:asciiTheme="majorBidi" w:hAnsiTheme="majorBidi" w:cstheme="majorBidi"/>
          <w:color w:val="000000" w:themeColor="text1"/>
          <w:sz w:val="24"/>
          <w:szCs w:val="24"/>
        </w:rPr>
        <w:fldChar w:fldCharType="separate"/>
      </w:r>
      <w:r w:rsidR="00770076" w:rsidRPr="00770076">
        <w:rPr>
          <w:rFonts w:asciiTheme="majorBidi" w:hAnsiTheme="majorBidi" w:cstheme="majorBidi"/>
          <w:noProof/>
          <w:color w:val="000000" w:themeColor="text1"/>
          <w:sz w:val="24"/>
          <w:szCs w:val="24"/>
        </w:rPr>
        <w:t>[3,4]</w:t>
      </w:r>
      <w:r w:rsidR="0073523B" w:rsidRPr="00807368">
        <w:rPr>
          <w:rFonts w:asciiTheme="majorBidi" w:hAnsiTheme="majorBidi" w:cstheme="majorBidi"/>
          <w:color w:val="000000" w:themeColor="text1"/>
          <w:sz w:val="24"/>
          <w:szCs w:val="24"/>
        </w:rPr>
        <w:fldChar w:fldCharType="end"/>
      </w:r>
      <w:r w:rsidRPr="00807368">
        <w:rPr>
          <w:rFonts w:asciiTheme="majorBidi" w:hAnsiTheme="majorBidi" w:cstheme="majorBidi"/>
          <w:color w:val="000000" w:themeColor="text1"/>
          <w:sz w:val="24"/>
          <w:szCs w:val="24"/>
        </w:rPr>
        <w:t xml:space="preserve">. Among these, the inflammation plays a key role to develop the secondary brain damage and many studies have focused on anti-inflammatory factors involved in the treatment of stroke </w:t>
      </w:r>
      <w:r w:rsidR="0073523B" w:rsidRPr="00807368">
        <w:rPr>
          <w:rFonts w:asciiTheme="majorBidi" w:hAnsiTheme="majorBidi" w:cstheme="majorBidi"/>
          <w:color w:val="000000" w:themeColor="text1"/>
          <w:sz w:val="24"/>
          <w:szCs w:val="24"/>
        </w:rPr>
        <w:fldChar w:fldCharType="begin" w:fldLock="1"/>
      </w:r>
      <w:r w:rsidR="00770076">
        <w:rPr>
          <w:rFonts w:asciiTheme="majorBidi" w:hAnsiTheme="majorBidi" w:cstheme="majorBidi"/>
          <w:color w:val="000000" w:themeColor="text1"/>
          <w:sz w:val="24"/>
          <w:szCs w:val="24"/>
        </w:rPr>
        <w:instrText>ADDIN CSL_CITATION {"citationItems":[{"id":"ITEM-1","itemData":{"DOI":"10.1007/s12017-018-8484-z","ISSN":"1535-1084","author":[{"dropping-particle":"","family":"Evans","given":"Megan A.","non-dropping-particle":"","parse-names":false,"suffix":""},{"dropping-particle":"","family":"Kim","given":"Hyun Ah","non-dropping-particle":"","parse-names":false,"suffix":""},{"dropping-particle":"","family":"Ling","given":"Yeong Hann","non-dropping-particle":"","parse-names":false,"suffix":""},{"dropping-particle":"","family":"Uong","given":"Sandy","non-dropping-particle":"","parse-names":false,"suffix":""},{"dropping-particle":"","family":"Vinh","given":"Antony","non-dropping-particle":"","parse-names":false,"suffix":""},{"dropping-particle":"","family":"Silva","given":"T. Michael","non-dropping-particle":"De","parse-names":false,"suffix":""},{"dropping-particle":"V.","family":"Arumugam","given":"Thiruma","non-dropping-particle":"","parse-names":false,"suffix":""},{"dropping-particle":"","family":"Clarkson","given":"Andrew N.","non-dropping-particle":"","parse-names":false,"suffix":""},{"dropping-particle":"","family":"Zosky","given":"Graeme R.","non-dropping-particle":"","parse-names":false,"suffix":""},{"dropping-particle":"","family":"Drummond","given":"Grant R.","non-dropping-particle":"","parse-names":false,"suffix":""},{"dropping-particle":"","family":"Broughton","given":"Brad R. S.","non-dropping-particle":"","parse-names":false,"suffix":""},{"dropping-particle":"","family":"Sobey","given":"Christopher G.","non-dropping-particle":"","parse-names":false,"suffix":""}],"container-title":"NeuroMolecular Medicine","id":"ITEM-1","issue":"1","issued":{"date-parts":[["2018","3","23"]]},"page":"147-159","publisher":"Springer US","title":"Vitamin D3 Supplementation Reduces Subsequent Brain Injury and Inflammation Associated with Ischemic Stroke","type":"article-journal","volume":"20"},"uris":["http://www.mendeley.com/documents/?uuid=35211831-a852-3f26-b01d-25748932aabc"]}],"mendeley":{"formattedCitation":"[5]","plainTextFormattedCitation":"[5]","previouslyFormattedCitation":"(5)"},"properties":{"noteIndex":0},"schema":"https://github.com/citation-style-language/schema/raw/master/csl-citation.json"}</w:instrText>
      </w:r>
      <w:r w:rsidR="0073523B" w:rsidRPr="00807368">
        <w:rPr>
          <w:rFonts w:asciiTheme="majorBidi" w:hAnsiTheme="majorBidi" w:cstheme="majorBidi"/>
          <w:color w:val="000000" w:themeColor="text1"/>
          <w:sz w:val="24"/>
          <w:szCs w:val="24"/>
        </w:rPr>
        <w:fldChar w:fldCharType="separate"/>
      </w:r>
      <w:r w:rsidR="00770076" w:rsidRPr="00770076">
        <w:rPr>
          <w:rFonts w:asciiTheme="majorBidi" w:hAnsiTheme="majorBidi" w:cstheme="majorBidi"/>
          <w:noProof/>
          <w:color w:val="000000" w:themeColor="text1"/>
          <w:sz w:val="24"/>
          <w:szCs w:val="24"/>
        </w:rPr>
        <w:t>[5]</w:t>
      </w:r>
      <w:r w:rsidR="0073523B" w:rsidRPr="00807368">
        <w:rPr>
          <w:rFonts w:asciiTheme="majorBidi" w:hAnsiTheme="majorBidi" w:cstheme="majorBidi"/>
          <w:color w:val="000000" w:themeColor="text1"/>
          <w:sz w:val="24"/>
          <w:szCs w:val="24"/>
        </w:rPr>
        <w:fldChar w:fldCharType="end"/>
      </w:r>
      <w:r w:rsidRPr="00807368">
        <w:rPr>
          <w:rFonts w:asciiTheme="majorBidi" w:hAnsiTheme="majorBidi" w:cstheme="majorBidi"/>
          <w:color w:val="000000" w:themeColor="text1"/>
          <w:sz w:val="24"/>
          <w:szCs w:val="24"/>
        </w:rPr>
        <w:t>.</w:t>
      </w:r>
      <w:r w:rsidR="00A149F9" w:rsidRPr="00807368">
        <w:rPr>
          <w:rFonts w:asciiTheme="majorBidi" w:hAnsiTheme="majorBidi" w:cstheme="majorBidi"/>
          <w:color w:val="000000" w:themeColor="text1"/>
          <w:sz w:val="24"/>
          <w:szCs w:val="24"/>
        </w:rPr>
        <w:t xml:space="preserve"> In the line of finding potent approaches to improve the memory </w:t>
      </w:r>
      <w:r w:rsidR="00A149F9" w:rsidRPr="00807368">
        <w:rPr>
          <w:rFonts w:asciiTheme="majorBidi" w:hAnsiTheme="majorBidi" w:cstheme="majorBidi"/>
          <w:color w:val="000000" w:themeColor="text1"/>
          <w:sz w:val="24"/>
          <w:szCs w:val="24"/>
        </w:rPr>
        <w:lastRenderedPageBreak/>
        <w:t xml:space="preserve">impairment, the strategies affecting transcription factor cAMP-responsive element-binding protein (CREB) through medications are of great importance </w:t>
      </w:r>
      <w:r w:rsidR="0073523B" w:rsidRPr="00807368">
        <w:rPr>
          <w:rFonts w:asciiTheme="majorBidi" w:hAnsiTheme="majorBidi" w:cstheme="majorBidi"/>
          <w:color w:val="000000" w:themeColor="text1"/>
          <w:sz w:val="24"/>
          <w:szCs w:val="24"/>
        </w:rPr>
        <w:fldChar w:fldCharType="begin" w:fldLock="1"/>
      </w:r>
      <w:r w:rsidR="00770076">
        <w:rPr>
          <w:rFonts w:asciiTheme="majorBidi" w:hAnsiTheme="majorBidi" w:cstheme="majorBidi"/>
          <w:color w:val="000000" w:themeColor="text1"/>
          <w:sz w:val="24"/>
          <w:szCs w:val="24"/>
        </w:rPr>
        <w:instrText>ADDIN CSL_CITATION {"citationItems":[{"id":"ITEM-1","itemData":{"DOI":"10.1016/j.nlm.2011.06.007","ISSN":"10747427","PMID":"21708277","abstract":"Spermidine (SPD) is an endogenous polyamine that modulates N-methyl-D-aspartate (NMDA) receptor function, and has been reported to facilitate memory formation. In the current study we determined whether or not the PKA/CREB signaling pathway is involved in SPD-induced facilitation of memory of inhibitory avoidance task in adult rats. The post-training administration of the cAMP-dependent protein kinase (PKA) inhibitor, N-[2-bromocinnamylamino)ethyl]-5-isoquinoline sulfonamide [H-89, 0.5 ρmol intrahippocampal (ih)] or the antagonist of the NMDA receptor polyamine-binding site (arcaine, 0.02 nmol ih) with SPD (0.2 nmol ih) prevented memory improvement induced by SPD. Intrahippocampal administration of SPD (0.2 nmol) facilitated PKA and cAMP response element-binding protein (CREB) phosphorylation in the hippocampus 180 min, but not 30 min, after administration, and increased translocation of the catalytic subunit of PKA into the nucleus. Arcaine (0.02 nmol) and H-89 (0.5 ρmol) prevented the stimulatory effect of SPD on PKA and CREB phosphorylation. These results suggest that memory enhancement induced by the ih administration of SPD involves the PKA/CREB pathways in rats.","author":[{"dropping-particle":"","family":"Guerra","given":"Gustavo Petri","non-dropping-particle":"","parse-names":false,"suffix":""},{"dropping-particle":"","family":"Mello","given":"Carlos Fernando","non-dropping-particle":"","parse-names":false,"suffix":""},{"dropping-particle":"","family":"Bochi","given":"Guilherme Vargas","non-dropping-particle":"","parse-names":false,"suffix":""},{"dropping-particle":"","family":"Pazini","given":"Andréia Martini","non-dropping-particle":"","parse-names":false,"suffix":""},{"dropping-particle":"","family":"Fachinetto","given":"Roselei","non-dropping-particle":"","parse-names":false,"suffix":""},{"dropping-particle":"","family":"Dutra","given":"Rafael C.","non-dropping-particle":"","parse-names":false,"suffix":""},{"dropping-particle":"","family":"Calixto","given":"João Batista","non-dropping-particle":"","parse-names":false,"suffix":""},{"dropping-particle":"","family":"Ferreira","given":"Juliano","non-dropping-particle":"","parse-names":false,"suffix":""},{"dropping-particle":"","family":"Rubin","given":"Maribel Antonello","non-dropping-particle":"","parse-names":false,"suffix":""}],"container-title":"Neurobiology of Learning and Memory","id":"ITEM-1","issue":"2","issued":{"date-parts":[["2011","9"]]},"page":"324-332","title":"Hippocampal PKA/CREB pathway is involved in the improvement of memory induced by spermidine in rats","type":"article-journal","volume":"96"},"uris":["http://www.mendeley.com/documents/?uuid=2833aa7b-4cca-365d-99c2-0543764f3ba4"]}],"mendeley":{"formattedCitation":"[6]","plainTextFormattedCitation":"[6]","previouslyFormattedCitation":"(6)"},"properties":{"noteIndex":0},"schema":"https://github.com/citation-style-language/schema/raw/master/csl-citation.json"}</w:instrText>
      </w:r>
      <w:r w:rsidR="0073523B" w:rsidRPr="00807368">
        <w:rPr>
          <w:rFonts w:asciiTheme="majorBidi" w:hAnsiTheme="majorBidi" w:cstheme="majorBidi"/>
          <w:color w:val="000000" w:themeColor="text1"/>
          <w:sz w:val="24"/>
          <w:szCs w:val="24"/>
        </w:rPr>
        <w:fldChar w:fldCharType="separate"/>
      </w:r>
      <w:r w:rsidR="00770076" w:rsidRPr="00770076">
        <w:rPr>
          <w:rFonts w:asciiTheme="majorBidi" w:hAnsiTheme="majorBidi" w:cstheme="majorBidi"/>
          <w:noProof/>
          <w:color w:val="000000" w:themeColor="text1"/>
          <w:sz w:val="24"/>
          <w:szCs w:val="24"/>
        </w:rPr>
        <w:t>[6]</w:t>
      </w:r>
      <w:r w:rsidR="0073523B" w:rsidRPr="00807368">
        <w:rPr>
          <w:rFonts w:asciiTheme="majorBidi" w:hAnsiTheme="majorBidi" w:cstheme="majorBidi"/>
          <w:color w:val="000000" w:themeColor="text1"/>
          <w:sz w:val="24"/>
          <w:szCs w:val="24"/>
        </w:rPr>
        <w:fldChar w:fldCharType="end"/>
      </w:r>
      <w:r w:rsidR="00A149F9" w:rsidRPr="00807368">
        <w:rPr>
          <w:rFonts w:asciiTheme="majorBidi" w:hAnsiTheme="majorBidi" w:cstheme="majorBidi"/>
          <w:color w:val="000000" w:themeColor="text1"/>
          <w:sz w:val="24"/>
          <w:szCs w:val="24"/>
        </w:rPr>
        <w:t>.</w:t>
      </w:r>
      <w:r w:rsidR="00AE6304" w:rsidRPr="00807368">
        <w:rPr>
          <w:rFonts w:asciiTheme="majorBidi" w:eastAsia="Calibri" w:hAnsiTheme="majorBidi" w:cstheme="majorBidi"/>
          <w:sz w:val="24"/>
          <w:szCs w:val="24"/>
          <w:lang w:bidi="fa-IR"/>
        </w:rPr>
        <w:t xml:space="preserve"> CREB is activated by various signaling pathways such as growth factors, activation of NMDA receptors, and other neurotransmitters</w:t>
      </w:r>
      <w:r w:rsidR="008367AD" w:rsidRPr="00807368">
        <w:rPr>
          <w:rFonts w:asciiTheme="majorBidi" w:eastAsia="Calibri" w:hAnsiTheme="majorBidi" w:cstheme="majorBidi"/>
          <w:sz w:val="24"/>
          <w:szCs w:val="24"/>
          <w:lang w:bidi="fa-IR"/>
        </w:rPr>
        <w:t>; also</w:t>
      </w:r>
      <w:r w:rsidR="00AE6304" w:rsidRPr="00807368">
        <w:rPr>
          <w:rFonts w:asciiTheme="majorBidi" w:eastAsia="Calibri" w:hAnsiTheme="majorBidi" w:cstheme="majorBidi"/>
          <w:sz w:val="24"/>
          <w:szCs w:val="24"/>
          <w:lang w:bidi="fa-IR"/>
        </w:rPr>
        <w:t xml:space="preserve"> CREB activates transcription targeted genes</w:t>
      </w:r>
      <w:r w:rsidR="00AE6304" w:rsidRPr="00807368">
        <w:rPr>
          <w:rFonts w:asciiTheme="majorBidi" w:hAnsiTheme="majorBidi" w:cstheme="majorBidi"/>
          <w:sz w:val="24"/>
          <w:szCs w:val="24"/>
        </w:rPr>
        <w:t xml:space="preserve"> </w:t>
      </w:r>
      <w:r w:rsidR="002F35D8" w:rsidRPr="00807368">
        <w:rPr>
          <w:rFonts w:asciiTheme="majorBidi" w:eastAsia="Calibri" w:hAnsiTheme="majorBidi" w:cstheme="majorBidi"/>
          <w:sz w:val="24"/>
          <w:szCs w:val="24"/>
          <w:lang w:bidi="fa-IR"/>
        </w:rPr>
        <w:t>which play</w:t>
      </w:r>
      <w:r w:rsidR="00AE6304" w:rsidRPr="00807368">
        <w:rPr>
          <w:rFonts w:asciiTheme="majorBidi" w:eastAsia="Calibri" w:hAnsiTheme="majorBidi" w:cstheme="majorBidi"/>
          <w:sz w:val="24"/>
          <w:szCs w:val="24"/>
          <w:lang w:bidi="fa-IR"/>
        </w:rPr>
        <w:t xml:space="preserve"> a role in memory enhancement </w:t>
      </w:r>
      <w:r w:rsidR="0073523B" w:rsidRPr="00807368">
        <w:rPr>
          <w:rFonts w:asciiTheme="majorBidi" w:eastAsia="Calibri" w:hAnsiTheme="majorBidi" w:cstheme="majorBidi"/>
          <w:sz w:val="24"/>
          <w:szCs w:val="24"/>
          <w:lang w:bidi="fa-IR"/>
        </w:rPr>
        <w:fldChar w:fldCharType="begin" w:fldLock="1"/>
      </w:r>
      <w:r w:rsidR="00770076">
        <w:rPr>
          <w:rFonts w:asciiTheme="majorBidi" w:eastAsia="Calibri" w:hAnsiTheme="majorBidi" w:cstheme="majorBidi"/>
          <w:sz w:val="24"/>
          <w:szCs w:val="24"/>
          <w:lang w:bidi="fa-IR"/>
        </w:rPr>
        <w:instrText>ADDIN CSL_CITATION {"citationItems":[{"id":"ITEM-1","itemData":{"DOI":"10.1152/physrev.00017.2008","ISSN":"0031-9333","PMID":"19126756","abstract":"Transcription is a molecular requisite for long-term synaptic plasticity and long-term memory formation. Thus, in the last several years, one main interest of molecular neuroscience has been the identification of families of transcription factors that are involved in both of these processes. Transcription is a highly regulated process that involves the combined interaction and function of chromatin and many other proteins, some of which are essential for the basal process of transcription, while others control the selective activation or repression of specific genes. These regulated interactions ultimately allow a sophisticated response to multiple environmental conditions, as well as control of spatial and temporal differences in gene expression. Evidence based on correlative changes in expression, genetic mutations, and targeted molecular inhibition of gene expression have shed light on the function of transcription in both synaptic plasticity and memory formation. This review provides a brief overview of experimental work showing that several families of transcription factors, including CREB, C/EBP, Egr, AP-1, and Rel, have essential functions in both processes. The results of this work suggest that patterns of transcription regulation represent the molecular signatures of long-term synaptic changes and memory formation.","author":[{"dropping-particle":"","family":"Alberini","given":"Cristina M.","non-dropping-particle":"","parse-names":false,"suffix":""}],"container-title":"Physiological Reviews","id":"ITEM-1","issue":"1","issued":{"date-parts":[["2009","1"]]},"page":"121-145","title":"Transcription Factors in Long-Term Memory and Synaptic Plasticity","type":"article-journal","volume":"89"},"uris":["http://www.mendeley.com/documents/?uuid=2fb642d3-b83c-3d7b-a1c7-ab79bf705c62"]},{"id":"ITEM-2","itemData":{"ISSN":"0092-8674","PMID":"9790528","abstract":"Although CREB seems to be important for memory formation, it is not known which of the isoforms of CREB, CREM, or ATF1 are expressed in the neurons that undergo long-term synaptic changes and what roles they have in memory formation. We have found a single Aplysia CREB1 gene homologous to both mammalian CREB and CREM and have characterized in the sensory neurons that mediate gill-withdrawal reflex the expression and function of the three proteins that it encodes: CREB1a, CREB1b, and CREB1c. CREB1a is a transcriptional activator that is both necessary and, upon phosphorylation, sufficient for long-term facilitation. CREB1b is a repressor of long-term facilitation. Cytoplasmic CREB1c modulates both the short- and long-term facilitation. Thus, in the sensory neurons, CREB1 encodes a critical regulatory unit converting short- to long-term synaptic changes.","author":[{"dropping-particle":"","family":"Bartsch","given":"D","non-dropping-particle":"","parse-names":false,"suffix":""},{"dropping-particle":"","family":"Casadio","given":"A","non-dropping-particle":"","parse-names":false,"suffix":""},{"dropping-particle":"","family":"Karl","given":"K A","non-dropping-particle":"","parse-names":false,"suffix":""},{"dropping-particle":"","family":"Serodio","given":"P","non-dropping-particle":"","parse-names":false,"suffix":""},{"dropping-particle":"","family":"Kandel","given":"E R","non-dropping-particle":"","parse-names":false,"suffix":""}],"container-title":"Cell","id":"ITEM-2","issue":"2","issued":{"date-parts":[["1998","10","16"]]},"page":"211-23","title":"CREB1 encodes a nuclear activator, a repressor, and a cytoplasmic modulator that form a regulatory unit critical for long-term facilitation.","type":"article-journal","volume":"95"},"uris":["http://www.mendeley.com/documents/?uuid=18470576-9e4f-328d-85bf-7564315f86e0"]},{"id":"ITEM-3","itemData":{"ISSN":"0092-8674","PMID":"8137425","abstract":"The consolidation of long-term memory requires protein and mRNA synthesis. A similar requirement has been demonstrated for learning-related synaptic plasticity in the gill-withdrawal reflex of Aplysia. The monosynaptic component of this reflex can be reconstituted in vitro, where it undergoes both short- and long-term increases in synaptic strength in response to serotonin (5-HT), a neurotransmitter released during behavioral sensitization, a simple form of learning. As with sensitization, the long-term synaptic modification is characterized by a brief consolidation period during which gene expression is required. We find that during this phase, the transcription factor Aplysia CCAAT enhancer-binding protein (ApC/EBP) is induced rapidly by 5-HT and by cAMP, even in the presence of protein synthesis inhibitors. Blocking the function of ApC/EBP blocks long-term facilitation selectively without affecting the short-term process. These data indicate that cAMP-inducible immediate-early genes have an essential role in the consolidation of stable long-term synaptic plasticity in Aplysia.","author":[{"dropping-particle":"","family":"Alberini","given":"C M","non-dropping-particle":"","parse-names":false,"suffix":""},{"dropping-particle":"","family":"Ghirardi","given":"M","non-dropping-particle":"","parse-names":false,"suffix":""},{"dropping-particle":"","family":"Metz","given":"R","non-dropping-particle":"","parse-names":false,"suffix":""},{"dropping-particle":"","family":"Kandel","given":"E R","non-dropping-particle":"","parse-names":false,"suffix":""}],"container-title":"Cell","id":"ITEM-3","issue":"6","issued":{"date-parts":[["1994","3","25"]]},"page":"1099-114","title":"C/EBP is an immediate-early gene required for the consolidation of long-term facilitation in Aplysia.","type":"article-journal","volume":"76"},"uris":["http://www.mendeley.com/documents/?uuid=051c480c-ec81-3278-a326-f25fdba33869"]}],"mendeley":{"formattedCitation":"[7–9]","plainTextFormattedCitation":"[7–9]","previouslyFormattedCitation":"(7–9)"},"properties":{"noteIndex":0},"schema":"https://github.com/citation-style-language/schema/raw/master/csl-citation.json"}</w:instrText>
      </w:r>
      <w:r w:rsidR="0073523B" w:rsidRPr="00807368">
        <w:rPr>
          <w:rFonts w:asciiTheme="majorBidi" w:eastAsia="Calibri" w:hAnsiTheme="majorBidi" w:cstheme="majorBidi"/>
          <w:sz w:val="24"/>
          <w:szCs w:val="24"/>
          <w:lang w:bidi="fa-IR"/>
        </w:rPr>
        <w:fldChar w:fldCharType="separate"/>
      </w:r>
      <w:r w:rsidR="00770076" w:rsidRPr="00770076">
        <w:rPr>
          <w:rFonts w:asciiTheme="majorBidi" w:eastAsia="Calibri" w:hAnsiTheme="majorBidi" w:cstheme="majorBidi"/>
          <w:noProof/>
          <w:sz w:val="24"/>
          <w:szCs w:val="24"/>
          <w:lang w:bidi="fa-IR"/>
        </w:rPr>
        <w:t>[7–9]</w:t>
      </w:r>
      <w:r w:rsidR="0073523B" w:rsidRPr="00807368">
        <w:rPr>
          <w:rFonts w:asciiTheme="majorBidi" w:eastAsia="Calibri" w:hAnsiTheme="majorBidi" w:cstheme="majorBidi"/>
          <w:sz w:val="24"/>
          <w:szCs w:val="24"/>
          <w:lang w:bidi="fa-IR"/>
        </w:rPr>
        <w:fldChar w:fldCharType="end"/>
      </w:r>
      <w:r w:rsidR="00AE6304" w:rsidRPr="00807368">
        <w:rPr>
          <w:rFonts w:asciiTheme="majorBidi" w:eastAsia="Calibri" w:hAnsiTheme="majorBidi" w:cstheme="majorBidi"/>
          <w:sz w:val="24"/>
          <w:szCs w:val="24"/>
          <w:lang w:bidi="fa-IR"/>
        </w:rPr>
        <w:t>. The activity of these genes has increased learning and</w:t>
      </w:r>
      <w:r w:rsidR="00AE6304" w:rsidRPr="00807368">
        <w:rPr>
          <w:rFonts w:asciiTheme="majorBidi" w:hAnsiTheme="majorBidi" w:cstheme="majorBidi"/>
          <w:sz w:val="24"/>
          <w:szCs w:val="24"/>
        </w:rPr>
        <w:t xml:space="preserve"> </w:t>
      </w:r>
      <w:r w:rsidR="00AE6304" w:rsidRPr="00807368">
        <w:rPr>
          <w:rFonts w:asciiTheme="majorBidi" w:eastAsia="Calibri" w:hAnsiTheme="majorBidi" w:cstheme="majorBidi"/>
          <w:sz w:val="24"/>
          <w:szCs w:val="24"/>
          <w:lang w:bidi="fa-IR"/>
        </w:rPr>
        <w:t xml:space="preserve">the expression of growth factors and anti-inflammatory factors, such as </w:t>
      </w:r>
      <w:r w:rsidR="00AE6304" w:rsidRPr="00807368">
        <w:rPr>
          <w:rStyle w:val="fontstyle01"/>
          <w:rFonts w:asciiTheme="majorBidi" w:hAnsiTheme="majorBidi" w:cstheme="majorBidi"/>
          <w:sz w:val="24"/>
          <w:szCs w:val="24"/>
        </w:rPr>
        <w:t>Insulin-like growth factors</w:t>
      </w:r>
      <w:r w:rsidR="00AE6304" w:rsidRPr="00807368">
        <w:rPr>
          <w:rFonts w:asciiTheme="majorBidi" w:eastAsia="Calibri" w:hAnsiTheme="majorBidi" w:cstheme="majorBidi"/>
          <w:sz w:val="24"/>
          <w:szCs w:val="24"/>
          <w:lang w:bidi="fa-IR"/>
        </w:rPr>
        <w:t xml:space="preserve"> in the hippocampus </w:t>
      </w:r>
      <w:r w:rsidR="0073523B" w:rsidRPr="00807368">
        <w:rPr>
          <w:rFonts w:asciiTheme="majorBidi" w:eastAsia="Calibri" w:hAnsiTheme="majorBidi" w:cstheme="majorBidi"/>
          <w:sz w:val="24"/>
          <w:szCs w:val="24"/>
          <w:lang w:bidi="fa-IR"/>
        </w:rPr>
        <w:fldChar w:fldCharType="begin" w:fldLock="1"/>
      </w:r>
      <w:r w:rsidR="00770076">
        <w:rPr>
          <w:rFonts w:asciiTheme="majorBidi" w:eastAsia="Calibri" w:hAnsiTheme="majorBidi" w:cstheme="majorBidi"/>
          <w:sz w:val="24"/>
          <w:szCs w:val="24"/>
          <w:lang w:bidi="fa-IR"/>
        </w:rPr>
        <w:instrText>ADDIN CSL_CITATION {"citationItems":[{"id":"ITEM-1","itemData":{"DOI":"10.1038/nature09667","ISBN":"1476-4687 (Electronic)\\r0028-0836 (Linking)","ISSN":"00280836","PMID":"21270887","abstract":"We report that, in the rat, administering insulin-like growth factor II (IGF-II, also known as IGF2) significantly enhances memory retention and prevents forgetting. Inhibitory avoidance learning leads to an increase in hippocampal expression of IGF-II, which requires the transcription factor CCAAT enhancer binding protein β and is essential for memory consolidation. Furthermore, injections of recombinant IGF-II into the hippocampus after either training or memory retrieval significantly enhance memory retention and prevent forgetting. To be effective, IGF-II needs to be administered within a sensitive period of memory consolidation. IGF-II-dependent memory enhancement requires IGF-II receptors, new protein synthesis, the function of activity-regulated cytoskeletal-associated protein and glycogen-synthase kinase 3 (GSK3). Moreover, it correlates with a significant activation of synaptic GSK3β and increased expression of GluR1 (also known as GRIA1) α-amino-3-hydroxy-5-methyl-4-isoxasolepropionic acid receptor subunits. In hippocampal slices, IGF-II promotes IGF-II receptor-dependent, persistent long-term potentiation after weak synaptic stimulation. Thus, IGF-II may represent a novel target for cognitive enhancement therapies.","author":[{"dropping-particle":"","family":"Chen","given":"Dillon Y.","non-dropping-particle":"","parse-names":false,"suffix":""},{"dropping-particle":"","family":"Stern","given":"Sarah A.","non-dropping-particle":"","parse-names":false,"suffix":""},{"dropping-particle":"","family":"Garcia-Osta","given":"Ana","non-dropping-particle":"","parse-names":false,"suffix":""},{"dropping-particle":"","family":"Saunier-Rebori","given":"Bernadette","non-dropping-particle":"","parse-names":false,"suffix":""},{"dropping-particle":"","family":"Pollonini","given":"Gabriella","non-dropping-particle":"","parse-names":false,"suffix":""},{"dropping-particle":"","family":"Bambah-Mukku","given":"Dhananjay","non-dropping-particle":"","parse-names":false,"suffix":""},{"dropping-particle":"","family":"Blitzer","given":"Robert D.","non-dropping-particle":"","parse-names":false,"suffix":""},{"dropping-particle":"","family":"Alberini","given":"Cristina M.file:///C:/Users/farzaneh/Desktop/A critical role for IGF-II in memory consolidation and enhancement.pdf","non-dropping-particle":"","parse-names":false,"suffix":""}],"container-title":"Nature","id":"ITEM-1","issue":"7331","issued":{"date-parts":[["2011","1","27"]]},"page":"491-499","title":"A critical role for IGF-II in memory consolidation and enhancement","type":"article-journal","volume":"469"},"uris":["http://www.mendeley.com/documents/?uuid=54f82370-704b-3b52-bfae-4e999751fe56"]}],"mendeley":{"formattedCitation":"[10]","plainTextFormattedCitation":"[10]","previouslyFormattedCitation":"(10)"},"properties":{"noteIndex":0},"schema":"https://github.com/citation-style-language/schema/raw/master/csl-citation.json"}</w:instrText>
      </w:r>
      <w:r w:rsidR="0073523B" w:rsidRPr="00807368">
        <w:rPr>
          <w:rFonts w:asciiTheme="majorBidi" w:eastAsia="Calibri" w:hAnsiTheme="majorBidi" w:cstheme="majorBidi"/>
          <w:sz w:val="24"/>
          <w:szCs w:val="24"/>
          <w:lang w:bidi="fa-IR"/>
        </w:rPr>
        <w:fldChar w:fldCharType="separate"/>
      </w:r>
      <w:r w:rsidR="00770076" w:rsidRPr="00770076">
        <w:rPr>
          <w:rFonts w:asciiTheme="majorBidi" w:eastAsia="Calibri" w:hAnsiTheme="majorBidi" w:cstheme="majorBidi"/>
          <w:noProof/>
          <w:sz w:val="24"/>
          <w:szCs w:val="24"/>
          <w:lang w:bidi="fa-IR"/>
        </w:rPr>
        <w:t>[10]</w:t>
      </w:r>
      <w:r w:rsidR="0073523B" w:rsidRPr="00807368">
        <w:rPr>
          <w:rFonts w:asciiTheme="majorBidi" w:eastAsia="Calibri" w:hAnsiTheme="majorBidi" w:cstheme="majorBidi"/>
          <w:sz w:val="24"/>
          <w:szCs w:val="24"/>
          <w:lang w:bidi="fa-IR"/>
        </w:rPr>
        <w:fldChar w:fldCharType="end"/>
      </w:r>
      <w:r w:rsidR="00AE6304" w:rsidRPr="00807368">
        <w:rPr>
          <w:rFonts w:asciiTheme="majorBidi" w:eastAsia="Calibri" w:hAnsiTheme="majorBidi" w:cstheme="majorBidi"/>
          <w:sz w:val="24"/>
          <w:szCs w:val="24"/>
          <w:lang w:bidi="fa-IR"/>
        </w:rPr>
        <w:t>.</w:t>
      </w:r>
      <w:r w:rsidR="00AE6304" w:rsidRPr="00807368">
        <w:rPr>
          <w:rFonts w:asciiTheme="majorBidi" w:hAnsiTheme="majorBidi" w:cstheme="majorBidi"/>
          <w:sz w:val="24"/>
          <w:szCs w:val="24"/>
        </w:rPr>
        <w:t xml:space="preserve"> Therefore, promoting an effective drug that can affect specifically the activity of genes involved in memory, reduce inflammation, act as a growth</w:t>
      </w:r>
      <w:r w:rsidR="002F35D8" w:rsidRPr="00807368">
        <w:rPr>
          <w:rFonts w:asciiTheme="majorBidi" w:hAnsiTheme="majorBidi" w:cstheme="majorBidi"/>
          <w:sz w:val="24"/>
          <w:szCs w:val="24"/>
        </w:rPr>
        <w:t xml:space="preserve"> factor, speed up repair with</w:t>
      </w:r>
      <w:r w:rsidR="00AE6304" w:rsidRPr="00807368">
        <w:rPr>
          <w:rFonts w:asciiTheme="majorBidi" w:hAnsiTheme="majorBidi" w:cstheme="majorBidi"/>
          <w:sz w:val="24"/>
          <w:szCs w:val="24"/>
        </w:rPr>
        <w:t xml:space="preserve"> minimal side effects is very important.</w:t>
      </w:r>
    </w:p>
    <w:p w:rsidR="00AE6304" w:rsidRPr="00807368" w:rsidRDefault="00AE6304" w:rsidP="00617F12">
      <w:pPr>
        <w:spacing w:line="276" w:lineRule="auto"/>
        <w:jc w:val="both"/>
        <w:rPr>
          <w:rStyle w:val="fontstyle01"/>
          <w:rFonts w:asciiTheme="majorBidi" w:hAnsiTheme="majorBidi" w:cstheme="majorBidi"/>
          <w:sz w:val="24"/>
          <w:szCs w:val="24"/>
          <w:rtl/>
          <w:lang w:bidi="fa-IR"/>
        </w:rPr>
      </w:pPr>
      <w:r w:rsidRPr="00807368">
        <w:rPr>
          <w:rFonts w:asciiTheme="majorBidi" w:eastAsia="Calibri" w:hAnsiTheme="majorBidi" w:cstheme="majorBidi"/>
          <w:sz w:val="24"/>
          <w:szCs w:val="24"/>
          <w:lang w:bidi="fa-IR"/>
        </w:rPr>
        <w:t>Insulin-like growth factor 2 (IGF-II) is a polypeptide that belongs to the insulin family.</w:t>
      </w:r>
      <w:r w:rsidRPr="00807368">
        <w:rPr>
          <w:rFonts w:asciiTheme="majorBidi" w:hAnsiTheme="majorBidi" w:cstheme="majorBidi"/>
          <w:sz w:val="24"/>
          <w:szCs w:val="24"/>
        </w:rPr>
        <w:t xml:space="preserve"> </w:t>
      </w:r>
      <w:r w:rsidRPr="00807368">
        <w:rPr>
          <w:rFonts w:asciiTheme="majorBidi" w:eastAsia="Calibri" w:hAnsiTheme="majorBidi" w:cstheme="majorBidi"/>
          <w:sz w:val="24"/>
          <w:szCs w:val="24"/>
          <w:lang w:bidi="fa-IR"/>
        </w:rPr>
        <w:t xml:space="preserve">Studies have shown that IGF-II plays a key role in enhancing cognitive and memory activities </w:t>
      </w:r>
      <w:r w:rsidR="0073523B" w:rsidRPr="00807368">
        <w:rPr>
          <w:rFonts w:asciiTheme="majorBidi" w:eastAsia="Calibri" w:hAnsiTheme="majorBidi" w:cstheme="majorBidi"/>
          <w:sz w:val="24"/>
          <w:szCs w:val="24"/>
          <w:lang w:bidi="fa-IR"/>
        </w:rPr>
        <w:fldChar w:fldCharType="begin" w:fldLock="1"/>
      </w:r>
      <w:r w:rsidR="00770076">
        <w:rPr>
          <w:rFonts w:asciiTheme="majorBidi" w:eastAsia="Calibri" w:hAnsiTheme="majorBidi" w:cstheme="majorBidi"/>
          <w:sz w:val="24"/>
          <w:szCs w:val="24"/>
          <w:lang w:bidi="fa-IR"/>
        </w:rPr>
        <w:instrText>ADDIN CSL_CITATION {"citationItems":[{"id":"ITEM-1","itemData":{"DOI":"10.1038/nature09667","ISBN":"1476-4687 (Electronic)\\r0028-0836 (Linking)","ISSN":"00280836","PMID":"21270887","abstract":"We report that, in the rat, administering insulin-like growth factor II (IGF-II, also known as IGF2) significantly enhances memory retention and prevents forgetting. Inhibitory avoidance learning leads to an increase in hippocampal expression of IGF-II, which requires the transcription factor CCAAT enhancer binding protein β and is essential for memory consolidation. Furthermore, injections of recombinant IGF-II into the hippocampus after either training or memory retrieval significantly enhance memory retention and prevent forgetting. To be effective, IGF-II needs to be administered within a sensitive period of memory consolidation. IGF-II-dependent memory enhancement requires IGF-II receptors, new protein synthesis, the function of activity-regulated cytoskeletal-associated protein and glycogen-synthase kinase 3 (GSK3). Moreover, it correlates with a significant activation of synaptic GSK3β and increased expression of GluR1 (also known as GRIA1) α-amino-3-hydroxy-5-methyl-4-isoxasolepropionic acid receptor subunits. In hippocampal slices, IGF-II promotes IGF-II receptor-dependent, persistent long-term potentiation after weak synaptic stimulation. Thus, IGF-II may represent a novel target for cognitive enhancement therapies.","author":[{"dropping-particle":"","family":"Chen","given":"Dillon Y.","non-dropping-particle":"","parse-names":false,"suffix":""},{"dropping-particle":"","family":"Stern","given":"Sarah A.","non-dropping-particle":"","parse-names":false,"suffix":""},{"dropping-particle":"","family":"Garcia-Osta","given":"Ana","non-dropping-particle":"","parse-names":false,"suffix":""},{"dropping-particle":"","family":"Saunier-Rebori","given":"Bernadette","non-dropping-particle":"","parse-names":false,"suffix":""},{"dropping-particle":"","family":"Pollonini","given":"Gabriella","non-dropping-particle":"","parse-names":false,"suffix":""},{"dropping-particle":"","family":"Bambah-Mukku","given":"Dhananjay","non-dropping-particle":"","parse-names":false,"suffix":""},{"dropping-particle":"","family":"Blitzer","given":"Robert D.","non-dropping-particle":"","parse-names":false,"suffix":""},{"dropping-particle":"","family":"Alberini","given":"Cristina M.file:///C:/Users/farzaneh/Desktop/A critical role for IGF-II in memory consolidation and enhancement.pdf","non-dropping-particle":"","parse-names":false,"suffix":""}],"container-title":"Nature","id":"ITEM-1","issue":"7331","issued":{"date-parts":[["2011","1","27"]]},"page":"491-499","title":"A critical role for IGF-II in memory consolidation and enhancement","type":"article-journal","volume":"469"},"uris":["http://www.mendeley.com/documents/?uuid=54f82370-704b-3b52-bfae-4e999751fe56"]}],"mendeley":{"formattedCitation":"[10]","plainTextFormattedCitation":"[10]","previouslyFormattedCitation":"(10)"},"properties":{"noteIndex":0},"schema":"https://github.com/citation-style-language/schema/raw/master/csl-citation.json"}</w:instrText>
      </w:r>
      <w:r w:rsidR="0073523B" w:rsidRPr="00807368">
        <w:rPr>
          <w:rFonts w:asciiTheme="majorBidi" w:eastAsia="Calibri" w:hAnsiTheme="majorBidi" w:cstheme="majorBidi"/>
          <w:sz w:val="24"/>
          <w:szCs w:val="24"/>
          <w:lang w:bidi="fa-IR"/>
        </w:rPr>
        <w:fldChar w:fldCharType="separate"/>
      </w:r>
      <w:r w:rsidR="00770076" w:rsidRPr="00770076">
        <w:rPr>
          <w:rFonts w:asciiTheme="majorBidi" w:eastAsia="Calibri" w:hAnsiTheme="majorBidi" w:cstheme="majorBidi"/>
          <w:noProof/>
          <w:sz w:val="24"/>
          <w:szCs w:val="24"/>
          <w:lang w:bidi="fa-IR"/>
        </w:rPr>
        <w:t>[10]</w:t>
      </w:r>
      <w:r w:rsidR="0073523B" w:rsidRPr="00807368">
        <w:rPr>
          <w:rFonts w:asciiTheme="majorBidi" w:eastAsia="Calibri" w:hAnsiTheme="majorBidi" w:cstheme="majorBidi"/>
          <w:sz w:val="24"/>
          <w:szCs w:val="24"/>
          <w:lang w:bidi="fa-IR"/>
        </w:rPr>
        <w:fldChar w:fldCharType="end"/>
      </w:r>
      <w:r w:rsidRPr="00807368">
        <w:rPr>
          <w:rFonts w:asciiTheme="majorBidi" w:eastAsia="Calibri" w:hAnsiTheme="majorBidi" w:cstheme="majorBidi"/>
          <w:sz w:val="24"/>
          <w:szCs w:val="24"/>
          <w:lang w:bidi="fa-IR"/>
        </w:rPr>
        <w:t xml:space="preserve">. The activation of IGF-II receptor causes responses such as regulating calcium homeostasis, increasing acetylcholine secretion and ultimately proliferating cells and helping them survive </w:t>
      </w:r>
      <w:r w:rsidR="0073523B" w:rsidRPr="00807368">
        <w:rPr>
          <w:rFonts w:asciiTheme="majorBidi" w:eastAsia="Calibri" w:hAnsiTheme="majorBidi" w:cstheme="majorBidi"/>
          <w:sz w:val="24"/>
          <w:szCs w:val="24"/>
          <w:lang w:bidi="fa-IR"/>
        </w:rPr>
        <w:fldChar w:fldCharType="begin" w:fldLock="1"/>
      </w:r>
      <w:r w:rsidR="00770076">
        <w:rPr>
          <w:rFonts w:asciiTheme="majorBidi" w:eastAsia="Calibri" w:hAnsiTheme="majorBidi" w:cstheme="majorBidi"/>
          <w:sz w:val="24"/>
          <w:szCs w:val="24"/>
          <w:lang w:bidi="fa-IR"/>
        </w:rPr>
        <w:instrText>ADDIN CSL_CITATION {"citationItems":[{"id":"ITEM-1","itemData":{"DOI":"10.1038/nrn3209","ISSN":"1471-003X","PMID":"22430016","abstract":"Central and peripheral insulin-like peptides (ILPs), which include insulin, insulin-like growth factor 1 (IGF1) and IGF2, exert many effects in the brain. Through their actions on brain growth and differentiation, ILPs contribute to building circuitries that subserve metabolic and behavioural adaptation to internal and external cues of energy availability. In the adult brain each ILP has distinct effects, but together their actions ultimately regulate energy homeostasis - they affect nutrient sensing and regulate neuronal plasticity to modulate adaptive behaviours involved in food seeking, including high-level cognitive operations such as spatial memory. In essence, the multifaceted activity of ILPs in the brain may be viewed as a system organization involved in the control of energy allocation.","author":[{"dropping-particle":"","family":"Fernandez","given":"Ana M.","non-dropping-particle":"","parse-names":false,"suffix":""},{"dropping-particle":"","family":"Torres-Alemán","given":"Ignacio","non-dropping-particle":"","parse-names":false,"suffix":""}],"container-title":"Nature Reviews Neuroscience","id":"ITEM-1","issue":"4","issued":{"date-parts":[["2012","4","1"]]},"page":"225-239","title":"The many faces of insulin-like peptide signalling in the brain","type":"article-journal","volume":"13"},"uris":["http://www.mendeley.com/documents/?uuid=33eb1b07-3e21-30a2-8e72-8be2b0232879"]}],"mendeley":{"formattedCitation":"[11]","plainTextFormattedCitation":"[11]","previouslyFormattedCitation":"(11)"},"properties":{"noteIndex":0},"schema":"https://github.com/citation-style-language/schema/raw/master/csl-citation.json"}</w:instrText>
      </w:r>
      <w:r w:rsidR="0073523B" w:rsidRPr="00807368">
        <w:rPr>
          <w:rFonts w:asciiTheme="majorBidi" w:eastAsia="Calibri" w:hAnsiTheme="majorBidi" w:cstheme="majorBidi"/>
          <w:sz w:val="24"/>
          <w:szCs w:val="24"/>
          <w:lang w:bidi="fa-IR"/>
        </w:rPr>
        <w:fldChar w:fldCharType="separate"/>
      </w:r>
      <w:r w:rsidR="00770076" w:rsidRPr="00770076">
        <w:rPr>
          <w:rFonts w:asciiTheme="majorBidi" w:eastAsia="Calibri" w:hAnsiTheme="majorBidi" w:cstheme="majorBidi"/>
          <w:noProof/>
          <w:sz w:val="24"/>
          <w:szCs w:val="24"/>
          <w:lang w:bidi="fa-IR"/>
        </w:rPr>
        <w:t>[11]</w:t>
      </w:r>
      <w:r w:rsidR="0073523B" w:rsidRPr="00807368">
        <w:rPr>
          <w:rFonts w:asciiTheme="majorBidi" w:eastAsia="Calibri" w:hAnsiTheme="majorBidi" w:cstheme="majorBidi"/>
          <w:sz w:val="24"/>
          <w:szCs w:val="24"/>
          <w:lang w:bidi="fa-IR"/>
        </w:rPr>
        <w:fldChar w:fldCharType="end"/>
      </w:r>
      <w:r w:rsidRPr="00807368">
        <w:rPr>
          <w:rFonts w:asciiTheme="majorBidi" w:eastAsia="Calibri" w:hAnsiTheme="majorBidi" w:cstheme="majorBidi"/>
          <w:sz w:val="24"/>
          <w:szCs w:val="24"/>
          <w:lang w:bidi="fa-IR"/>
        </w:rPr>
        <w:t xml:space="preserve">. IGF-II can act as an effective medication for regulating calcium homeostasis and preventing neurotoxicity, and can play a role in increasing memory </w:t>
      </w:r>
      <w:r w:rsidR="0073523B" w:rsidRPr="00807368">
        <w:rPr>
          <w:rFonts w:asciiTheme="majorBidi" w:eastAsia="Calibri" w:hAnsiTheme="majorBidi" w:cstheme="majorBidi"/>
          <w:sz w:val="24"/>
          <w:szCs w:val="24"/>
          <w:lang w:bidi="fa-IR"/>
        </w:rPr>
        <w:fldChar w:fldCharType="begin" w:fldLock="1"/>
      </w:r>
      <w:r w:rsidR="00770076">
        <w:rPr>
          <w:rFonts w:asciiTheme="majorBidi" w:eastAsia="Calibri" w:hAnsiTheme="majorBidi" w:cstheme="majorBidi"/>
          <w:sz w:val="24"/>
          <w:szCs w:val="24"/>
          <w:lang w:bidi="fa-IR"/>
        </w:rPr>
        <w:instrText>ADDIN CSL_CITATION {"citationItems":[{"id":"ITEM-1","itemData":{"ISSN":"0065-1400","PMID":"15190684","abstract":"Cholinergic abnormalities, alongside senile plaques, neurofibrillary tangles, and extensive neuronal loss, are the major characteristics in Alzheimer's disease (AD). Both nicotinic and muscarinic acetylcholine receptors are decreased in AD, and it has been shown that the reduction in the number of acetylcholine receptors precedes other pathologic changes. Anti-cholinergic drugs induce amnesia, which can be reversed by withdrawal of the medication. Inhibition of the down-regulation of acetylcholine is, therefore, a strategy for the treatment of AD because it could augment acetylcholine levels within synaptic clefts. In this context, acetylcholinesterase inhibitors, which improve cognitive functions, are currently approved for the treatment of AD. Stimulation of acetylcholine receptors, nicotinic or muscarinic, is another strategy; some drugs are currently under investigation, and reported to be effective. In addition, nicotinic stimulation exerts a neuroprotective effect, and reduces the amyloid burden. Cholinergic therapy may counter the symptoms and progress of AD.","author":[{"dropping-particle":"","family":"Kihara","given":"Takeshi","non-dropping-particle":"","parse-names":false,"suffix":""},{"dropping-particle":"","family":"Shimohama","given":"Shun","non-dropping-particle":"","parse-names":false,"suffix":""}],"container-title":"Acta neurobiologiae experimentalis","id":"ITEM-1","issue":"1","issued":{"date-parts":[["2004"]]},"page":"99-105","title":"Alzheimer's disease and acetylcholine receptors.","type":"article-journal","volume":"64"},"uris":["http://www.mendeley.com/documents/?uuid=55b118a2-ea98-3940-a670-1f92ec40dd33"]},{"id":"ITEM-2","itemData":{"ISSN":"0039-2499","PMID":"7709405","abstract":"BACKGROUND AND PURPOSE CGS 19755 is a competitive N-methyl-D-aspartate (NMDA) receptor antagonist that limits neuronal damage in animal stroke models. The objectives of this multicenter (7 centers), randomized, double-blind, placebo-controlled, ascending-dose phase IIa study were to evaluate the safety and tolerability of CGS 19755 and obtain pharmacokinetic and preliminary data on its efficacious dose range in patients treated within 12 hours of hemispheric ischemic stroke. METHODS At each dose level, 6 patients were randomized to one or two intravenous bolus doses of CGS 19755, and 2 patients were randomized to placebo. An unblinded safety and monitoring committee-evaluated results at each dose before ascending to the next level. All patients at the first level (1 mg/kg) received two doses separated by 12 hours. The first 2 patients at 2 mg/kg received two doses, but adverse experiences occurred in both; subsequent patient groups received single doses of 2.0, 1.75, or 1.5 mg/kg. RESULTS Adverse experiences (agitation, hallucinations, confusion, paranoia, and delirium) occurred in all 6 patients treated with 2 mg/kg, and in 3 of 5 at 1.75 mg/kg. Similar but milder adverse experiences were noted in 4 of 7 patients at 1.5 mg/kg and 1 of 6 patients at 1.0 mg/kg. Adverse experiences began between 20 minutes and 22 hours (mean, 8 hours) after treatment and lasted 2 to 60 hours (mean, 24 hours). Mortality was 1 of 8 in patients receiving placebo and 3 of 24 in treated patients. In treated survivors, median and mean percent improvement in National Institutes of Health Stroke Scale scores from baseline to terminal visit (mean, 86 days) was comparable at all doses, and 95% of treated patients had Barthel Index scores of &gt; or = 70 at the terminal visit. CONCLUSIONS We conclude that a single intravenous dose of 1.5 mg/kg CGS 19755 is safe and tolerable in patients with acute ischemic stroke. An efficacy trial is indicated.","author":[{"dropping-particle":"","family":"Grotta","given":"J","non-dropping-particle":"","parse-names":false,"suffix":""},{"dropping-particle":"","family":"Clark","given":"W","non-dropping-particle":"","parse-names":false,"suffix":""},{"dropping-particle":"","family":"Coull","given":"B","non-dropping-particle":"","parse-names":false,"suffix":""},{"dropping-particle":"","family":"Pettigrew","given":"L C","non-dropping-particle":"","parse-names":false,"suffix":""},{"dropping-particle":"","family":"Mackay","given":"B","non-dropping-particle":"","parse-names":false,"suffix":""},{"dropping-particle":"","family":"Goldstein","given":"L B","non-dropping-particle":"","parse-names":false,"suffix":""},{"dropping-particle":"","family":"Meissner","given":"I","non-dropping-particle":"","parse-names":false,"suffix":""},{"dropping-particle":"","family":"Murphy","given":"D","non-dropping-particle":"","parse-names":false,"suffix":""},{"dropping-particle":"","family":"LaRue","given":"L","non-dropping-particle":"","parse-names":false,"suffix":""}],"container-title":"Stroke","id":"ITEM-2","issue":"4","issued":{"date-parts":[["1995","4"]]},"page":"602-5","title":"Safety and tolerability of the glutamate antagonist CGS 19755 (Selfotel) in patients with acute ischemic stroke. Results of a phase IIa randomized trial.","type":"article-journal","volume":"26"},"uris":["http://www.mendeley.com/documents/?uuid=a7fb14ca-c125-303f-a43c-22e56f1cd0bb"]},{"id":"ITEM-3","itemData":{"ISSN":"0039-2499","PMID":"10657404","abstract":"BACKGROUND AND PURPOSE Based on neuroprotective efficacy in animal models, we evaluated the N-methyl D-aspartate antagonist Selfotel in patients with ischemic stroke, after doses up to 1.5 mg/kg were shown to be safe in phase 1 and phase 2a studies. METHODS Two pivotal phase 3 ischemic stroke trials tested the hypothesis, by double-blind, randomized, placebo-controlled parallel design, that a single intravenous 1.5 mg/kg dose of Selfotel, administered within 6 hours of stroke onset, would improve functional outcome at 90 days, defined as the proportion of patients achieving a Barthel Index score of &gt;/=60. The trials were performed in patients aged 40 to 85 years with acute ischemic hemispheric stroke and a motor deficit. RESULTS The 2 trials were suspended on advice of the independent Data Safety Monitoring Board because of an imbalance in mortality after a total enrollment of 567 patients. The groups were well matched for initial stroke severity and time from stroke onset to therapy. There was no difference in the 90-day mortality rate, with 62 deaths (22%) in the Selfotel group and 49 (17%) in the placebo-treated group (RR=1.3; 95% CI 0.92 to 1.83; P=0.15). However, early mortality was higher in the Selfotel-treated patients (day 30: 54 of 280 versus 37 of 286; P=0.05). In patients with severe stroke, mortality imbalance was significant throughout the trial (P=0.05). CONCLUSIONS Selfotel was not an effective treatment for acute ischemic stroke. Furthermore, a trend toward increased mortality, particularly within the first 30 days and in patients with severe stroke, suggests that the drug might have a neurotoxic effect in brain ischemia.","author":[{"dropping-particle":"","family":"Davis","given":"S M","non-dropping-particle":"","parse-names":false,"suffix":""},{"dropping-particle":"","family":"Lees","given":"K R","non-dropping-particle":"","parse-names":false,"suffix":""},{"dropping-particle":"","family":"Albers","given":"G W","non-dropping-particle":"","parse-names":false,"suffix":""},{"dropping-particle":"","family":"Diener","given":"H C","non-dropping-particle":"","parse-names":false,"suffix":""},{"dropping-particle":"","family":"Markabi","given":"S","non-dropping-particle":"","parse-names":false,"suffix":""},{"dropping-particle":"","family":"Karlsson","given":"G","non-dropping-particle":"","parse-names":false,"suffix":""},{"dropping-particle":"","family":"Norris","given":"J","non-dropping-particle":"","parse-names":false,"suffix":""}],"container-title":"Stroke","id":"ITEM-3","issue":"2","issued":{"date-parts":[["2000","2"]]},"page":"347-54","title":"Selfotel in acute ischemic stroke : possible neurotoxic effects of an NMDA antagonist.","type":"article-journal","volume":"31"},"uris":["http://www.mendeley.com/documents/?uuid=4f2c4908-63cb-3818-8c66-7efbf24aee50"]}],"mendeley":{"formattedCitation":"[12–14]","plainTextFormattedCitation":"[12–14]","previouslyFormattedCitation":"(12–14)"},"properties":{"noteIndex":0},"schema":"https://github.com/citation-style-language/schema/raw/master/csl-citation.json"}</w:instrText>
      </w:r>
      <w:r w:rsidR="0073523B" w:rsidRPr="00807368">
        <w:rPr>
          <w:rFonts w:asciiTheme="majorBidi" w:eastAsia="Calibri" w:hAnsiTheme="majorBidi" w:cstheme="majorBidi"/>
          <w:sz w:val="24"/>
          <w:szCs w:val="24"/>
          <w:lang w:bidi="fa-IR"/>
        </w:rPr>
        <w:fldChar w:fldCharType="separate"/>
      </w:r>
      <w:r w:rsidR="00770076" w:rsidRPr="00770076">
        <w:rPr>
          <w:rFonts w:asciiTheme="majorBidi" w:eastAsia="Calibri" w:hAnsiTheme="majorBidi" w:cstheme="majorBidi"/>
          <w:noProof/>
          <w:sz w:val="24"/>
          <w:szCs w:val="24"/>
          <w:lang w:bidi="fa-IR"/>
        </w:rPr>
        <w:t>[12–14]</w:t>
      </w:r>
      <w:r w:rsidR="0073523B" w:rsidRPr="00807368">
        <w:rPr>
          <w:rFonts w:asciiTheme="majorBidi" w:eastAsia="Calibri" w:hAnsiTheme="majorBidi" w:cstheme="majorBidi"/>
          <w:sz w:val="24"/>
          <w:szCs w:val="24"/>
          <w:lang w:bidi="fa-IR"/>
        </w:rPr>
        <w:fldChar w:fldCharType="end"/>
      </w:r>
      <w:r w:rsidRPr="00807368">
        <w:rPr>
          <w:rFonts w:asciiTheme="majorBidi" w:eastAsia="Calibri" w:hAnsiTheme="majorBidi" w:cstheme="majorBidi"/>
          <w:sz w:val="24"/>
          <w:szCs w:val="24"/>
          <w:lang w:bidi="fa-IR"/>
        </w:rPr>
        <w:t xml:space="preserve">. Schmeisser showed that IGF-II could increase the density of dendritic spine and also plays a role in the formation and regulation of synapses </w:t>
      </w:r>
      <w:r w:rsidR="0073523B" w:rsidRPr="00807368">
        <w:rPr>
          <w:rFonts w:asciiTheme="majorBidi" w:eastAsia="Calibri" w:hAnsiTheme="majorBidi" w:cstheme="majorBidi"/>
          <w:sz w:val="24"/>
          <w:szCs w:val="24"/>
          <w:lang w:bidi="fa-IR"/>
        </w:rPr>
        <w:fldChar w:fldCharType="begin" w:fldLock="1"/>
      </w:r>
      <w:r w:rsidR="00770076">
        <w:rPr>
          <w:rFonts w:asciiTheme="majorBidi" w:eastAsia="Calibri" w:hAnsiTheme="majorBidi" w:cstheme="majorBidi"/>
          <w:sz w:val="24"/>
          <w:szCs w:val="24"/>
          <w:lang w:bidi="fa-IR"/>
        </w:rPr>
        <w:instrText>ADDIN CSL_CITATION {"citationItems":[{"id":"ITEM-1","itemData":{"DOI":"10.1523/JNEUROSCI.0111-12.2012","ISSN":"0270-6474","PMID":"22514330","abstract":"Alterations of learning and memory in mice with deregulated neuron-specific nuclear factor κB (NF-κB) activity support the idea that plastic changes of synaptic contacts may depend at least in part on IκB kinase (IKK)/NF-κB-related synapse-to-nucleus signaling. There is, however, little information on the molecular requirements and mechanisms regulating this IKK/NF-κB-dependent synapse development and remodeling. Here, we report that the NF-κB inducing IKK kinase complex is localized at the postsynaptic density (PSD) and activated under basal conditions in the adult mouse brain. Using different models of conditional genetic inactivation of IKK2 function in mouse principal neurons, we show that IKK/NF-κB signaling is critically involved in synapse formation and spine maturation in the adult brain. IKK/NF-κB blockade in the forebrain of mutant animals is associated with reduced levels of mature spines and postsynaptic proteins PSD95, SAP97, GluA1, AMPAR-mediated basal synaptic transmission and a spatial learning impairment. Synaptic deficits can be restored in adult animals within 1 week by IKK/NF-κB reactivation, indicating a highly dynamic IKK/NF-κB-dependent regulation process. We further identified the insulin-like growth factor 2 gene (Igf2) as a novel IKK/NF-κB target. Exogenous Igf2 was able to restore synapse density and promoted spine maturation in IKK/NF-κB signaling-deficient neurons within 24 h. This process depends on Igf2/Igf2R-mediated MEK/ERK activation. Our findings illustrate a fundamental role of IKK/NF-κB-Igf2-Igf2R signaling in synapse formation and maturation in adult mice, thus providing an intriguing link between the molecular actions of IKK/NF-κB in neurons and the memory enhancement factor Igf2.","author":[{"dropping-particle":"","family":"Schmeisser","given":"M. J.","non-dropping-particle":"","parse-names":false,"suffix":""},{"dropping-particle":"","family":"Baumann","given":"B.","non-dropping-particle":"","parse-names":false,"suffix":""},{"dropping-particle":"","family":"Johannsen","given":"S.","non-dropping-particle":"","parse-names":false,"suffix":""},{"dropping-particle":"","family":"Vindedal","given":"G. F.","non-dropping-particle":"","parse-names":false,"suffix":""},{"dropping-particle":"","family":"Jensen","given":"V.","non-dropping-particle":"","parse-names":false,"suffix":""},{"dropping-particle":"","family":"Hvalby","given":"O. C.","non-dropping-particle":"","parse-names":false,"suffix":""},{"dropping-particle":"","family":"Sprengel","given":"R.","non-dropping-particle":"","parse-names":false,"suffix":""},{"dropping-particle":"","family":"Seither","given":"J.","non-dropping-particle":"","parse-names":false,"suffix":""},{"dropping-particle":"","family":"Maqbool","given":"A.","non-dropping-particle":"","parse-names":false,"suffix":""},{"dropping-particle":"","family":"Magnutzki","given":"A.","non-dropping-particle":"","parse-names":false,"suffix":""},{"dropping-particle":"","family":"Lattke","given":"M.","non-dropping-particle":"","parse-names":false,"suffix":""},{"dropping-particle":"","family":"Oswald","given":"F.","non-dropping-particle":"","parse-names":false,"suffix":""},{"dropping-particle":"","family":"Boeckers","given":"T. M.","non-dropping-particle":"","parse-names":false,"suffix":""},{"dropping-particle":"","family":"Wirth","given":"T.","non-dropping-particle":"","parse-names":false,"suffix":""}],"container-title":"Journal of Neuroscience","id":"ITEM-1","issue":"16","issued":{"date-parts":[["2012","4","18"]]},"page":"5688-5703","title":"I B Kinase/Nuclear Factor  B-Dependent Insulin-Like Growth Factor 2 (Igf2) Expression Regulates Synapse Formation and Spine Maturation via Igf2 Receptor Signaling","type":"article-journal","volume":"32"},"uris":["http://www.mendeley.com/documents/?uuid=78f4c69d-f0c6-331d-861c-9ed774db83c2"]}],"mendeley":{"formattedCitation":"[15]","plainTextFormattedCitation":"[15]","previouslyFormattedCitation":"(15)"},"properties":{"noteIndex":0},"schema":"https://github.com/citation-style-language/schema/raw/master/csl-citation.json"}</w:instrText>
      </w:r>
      <w:r w:rsidR="0073523B" w:rsidRPr="00807368">
        <w:rPr>
          <w:rFonts w:asciiTheme="majorBidi" w:eastAsia="Calibri" w:hAnsiTheme="majorBidi" w:cstheme="majorBidi"/>
          <w:sz w:val="24"/>
          <w:szCs w:val="24"/>
          <w:lang w:bidi="fa-IR"/>
        </w:rPr>
        <w:fldChar w:fldCharType="separate"/>
      </w:r>
      <w:r w:rsidR="00770076" w:rsidRPr="00770076">
        <w:rPr>
          <w:rFonts w:asciiTheme="majorBidi" w:eastAsia="Calibri" w:hAnsiTheme="majorBidi" w:cstheme="majorBidi"/>
          <w:noProof/>
          <w:sz w:val="24"/>
          <w:szCs w:val="24"/>
          <w:lang w:bidi="fa-IR"/>
        </w:rPr>
        <w:t>[15]</w:t>
      </w:r>
      <w:r w:rsidR="0073523B" w:rsidRPr="00807368">
        <w:rPr>
          <w:rFonts w:asciiTheme="majorBidi" w:eastAsia="Calibri" w:hAnsiTheme="majorBidi" w:cstheme="majorBidi"/>
          <w:sz w:val="24"/>
          <w:szCs w:val="24"/>
          <w:lang w:bidi="fa-IR"/>
        </w:rPr>
        <w:fldChar w:fldCharType="end"/>
      </w:r>
      <w:r w:rsidRPr="00807368">
        <w:rPr>
          <w:rFonts w:asciiTheme="majorBidi" w:eastAsia="Calibri" w:hAnsiTheme="majorBidi" w:cstheme="majorBidi"/>
          <w:sz w:val="24"/>
          <w:szCs w:val="24"/>
          <w:lang w:bidi="fa-IR"/>
        </w:rPr>
        <w:t>. Lipo</w:t>
      </w:r>
      <w:r w:rsidR="00832A55" w:rsidRPr="00807368">
        <w:rPr>
          <w:rFonts w:asciiTheme="majorBidi" w:eastAsia="Calibri" w:hAnsiTheme="majorBidi" w:cstheme="majorBidi"/>
          <w:sz w:val="24"/>
          <w:szCs w:val="24"/>
          <w:lang w:bidi="fa-IR"/>
        </w:rPr>
        <w:t>po</w:t>
      </w:r>
      <w:r w:rsidRPr="00807368">
        <w:rPr>
          <w:rFonts w:asciiTheme="majorBidi" w:eastAsia="Calibri" w:hAnsiTheme="majorBidi" w:cstheme="majorBidi"/>
          <w:sz w:val="24"/>
          <w:szCs w:val="24"/>
          <w:lang w:bidi="fa-IR"/>
        </w:rPr>
        <w:t>lysaccharides (LPS), a type of pro-inflammatory factor, can increase IGF-II in microglial cell cultures; in addition, the results of RT-PCR analysis and Western blot indicate that IGF-II significantly increases after inflammation,</w:t>
      </w:r>
      <w:r w:rsidRPr="00807368">
        <w:rPr>
          <w:rFonts w:asciiTheme="majorBidi" w:hAnsiTheme="majorBidi" w:cstheme="majorBidi"/>
          <w:sz w:val="24"/>
          <w:szCs w:val="24"/>
        </w:rPr>
        <w:t xml:space="preserve"> </w:t>
      </w:r>
      <w:r w:rsidRPr="00807368">
        <w:rPr>
          <w:rFonts w:asciiTheme="majorBidi" w:eastAsia="Calibri" w:hAnsiTheme="majorBidi" w:cstheme="majorBidi"/>
          <w:sz w:val="24"/>
          <w:szCs w:val="24"/>
          <w:lang w:bidi="fa-IR"/>
        </w:rPr>
        <w:t xml:space="preserve">illustrating that IGF-II plays a key role as an anti-inflammatory factor </w:t>
      </w:r>
      <w:r w:rsidR="0073523B" w:rsidRPr="00807368">
        <w:rPr>
          <w:rFonts w:asciiTheme="majorBidi" w:eastAsia="Calibri" w:hAnsiTheme="majorBidi" w:cstheme="majorBidi"/>
          <w:sz w:val="24"/>
          <w:szCs w:val="24"/>
          <w:lang w:bidi="fa-IR"/>
        </w:rPr>
        <w:fldChar w:fldCharType="begin" w:fldLock="1"/>
      </w:r>
      <w:r w:rsidR="00770076">
        <w:rPr>
          <w:rFonts w:asciiTheme="majorBidi" w:eastAsia="Calibri" w:hAnsiTheme="majorBidi" w:cstheme="majorBidi"/>
          <w:sz w:val="24"/>
          <w:szCs w:val="24"/>
          <w:lang w:bidi="fa-IR"/>
        </w:rPr>
        <w:instrText>ADDIN CSL_CITATION {"citationItems":[{"id":"ITEM-1","itemData":{"DOI":"10.1186/1742-2094-10-37","ISSN":"1742-2094","PMID":"23497056","abstract":"BACKGROUND Recent studies in experimental animals show that insulin-like growth factor 1 (IGF1) plays a trophic role during development and tissue injury and that microglia are important sources of IGF1. However, little information is available regarding the expression, regulation, and function of IGF1 and related proteins in human brain cells. In the current study, we examined the expression of IGF1 and IGF2 in human microglia in vivo and in vitro. METHODS Expression of IGF1 and IGF2 was examined by immunohistochemistry in post-mortem human brain sections derived from HIV+ and HIV- brains. In primary cultures of human fetal microglia, IGF1 and IGF2 mRNA and protein expression was examined by Q-PCR, ELISA, and Western blot analysis. Additionally, the role of IGF1 and IGF2 in neuroprotection was examined in primary human neuronal glial cultures. RESULTS Immunohistochemistry of human brain tissues showed that nonparenchymal cells (vessels and meninges), as well as parenchymal microglia and macrophages were positive for IGF1, in both HIV encephalitis and control brains, while IGF2 was undetectable. Cultured microglia expressed IGF1 mRNA and produced pg/ml levels of IGF1 protein; this was significantly suppressed by proinflammatory mediators, such as lipopolysaccharide (LPS), poly(I:C), and IFNγ. The Th2 cytokines IL-4 and IL-13 had no significant effect, but the cAMP analog (dibutyryl cAMP) significantly increased IGF1 production. In contrast, microglial IGF2 mRNA and protein (determined by Western blot) were upregulated by LPS. IGF1 receptor (IGF1R) immunoreactivity was predominantly expressed by neurons, and both IGF1 and IGF2 significantly protected neurons from cytokine (IL-1/IFNγ) induced death. CONCLUSIONS Our study in human brain tissues and cells indicates that microglia are important sources of neurotrophic growth factors IGF1 and IGF2, and that microglial activation phenotypes can influence the growth factor expression. Importantly, our results suggest that chronic neuroinflammation and upregulation of proinflammatory cytokines could lead to neurodegeneration by suppressing the production of microglia-derived neuronal growth factors, such as IGF1.","author":[{"dropping-particle":"","family":"Suh","given":"Hyeon-Sook","non-dropping-particle":"","parse-names":false,"suffix":""},{"dropping-particle":"","family":"Zhao","given":"Meng-Liang","non-dropping-particle":"","parse-names":false,"suffix":""},{"dropping-particle":"","family":"Derico","given":"Leandra","non-dropping-particle":"","parse-names":false,"suffix":""},{"dropping-particle":"","family":"Choi","given":"Namjong","non-dropping-particle":"","parse-names":false,"suffix":""},{"dropping-particle":"","family":"Lee","given":"Sunhee C","non-dropping-particle":"","parse-names":false,"suffix":""}],"container-title":"Journal of Neuroinflammation","id":"ITEM-1","issue":"1","issued":{"date-parts":[["2013","12","12"]]},"page":"805","title":"Insulin-like growth factor 1 and 2 (IGF1, IGF2) expression in human microglia: differential regulation by inflammatory mediators","type":"article-journal","volume":"10"},"uris":["http://www.mendeley.com/documents/?uuid=379132cb-0050-35ce-86e1-44108b493e11"]},{"id":"ITEM-2","itemData":{"DOI":"10.1155/2014/610343","ISSN":"2090-5904","PMID":"24772353","abstract":"&lt;p&gt;Microglia cells are the major orchestrator of the brain inflammatory response. As such, they are traditionally studied in various contexts of trauma, injury, and disease, where they are well-known for regulating a wide range of physiological processes by their release of proinflammatory cytokines, reactive oxygen species, and trophic factors, among other crucial mediators. In the last few years, however, this classical view of microglia was challenged by a series of discoveries showing their active and positive contribution to normal brain functions. In light of these discoveries, surveillant microglia are now emerging as an important effector of cellular plasticity in the healthy brain, alongside astrocytes and other types of inflammatory cells. Here, we will review the roles of microglia in adult hippocampal neurogenesis and their regulation by inflammation during chronic stress, aging, and neurodegenerative diseases, with a particular emphasis on their underlying molecular mechanisms and their functional consequences for learning and memory.&lt;/p&gt;","author":[{"dropping-particle":"","family":"Sierra","given":"Amanda","non-dropping-particle":"","parse-names":false,"suffix":""},{"dropping-particle":"","family":"Beccari","given":"Sol","non-dropping-particle":"","parse-names":false,"suffix":""},{"dropping-particle":"","family":"Diaz-Aparicio","given":"Irune","non-dropping-particle":"","parse-names":false,"suffix":""},{"dropping-particle":"","family":"Encinas","given":"Juan M.","non-dropping-particle":"","parse-names":false,"suffix":""},{"dropping-particle":"","family":"Comeau","given":"Samuel","non-dropping-particle":"","parse-names":false,"suffix":""},{"dropping-particle":"","family":"Tremblay","given":"Marie-Ève","non-dropping-particle":"","parse-names":false,"suffix":""}],"container-title":"Neural Plasticity","id":"ITEM-2","issued":{"date-parts":[["2014"]]},"page":"1-15","title":"Surveillance, Phagocytosis, and Inflammation: How Never-Resting Microglia Influence Adult Hippocampal Neurogenesis","type":"article-journal","volume":"2014"},"uris":["http://www.mendeley.com/documents/?uuid=bde16f76-ec14-3aee-a90f-08125cb7995a"]}],"mendeley":{"formattedCitation":"[16,17]","plainTextFormattedCitation":"[16,17]","previouslyFormattedCitation":"(16,17)"},"properties":{"noteIndex":0},"schema":"https://github.com/citation-style-language/schema/raw/master/csl-citation.json"}</w:instrText>
      </w:r>
      <w:r w:rsidR="0073523B" w:rsidRPr="00807368">
        <w:rPr>
          <w:rFonts w:asciiTheme="majorBidi" w:eastAsia="Calibri" w:hAnsiTheme="majorBidi" w:cstheme="majorBidi"/>
          <w:sz w:val="24"/>
          <w:szCs w:val="24"/>
          <w:lang w:bidi="fa-IR"/>
        </w:rPr>
        <w:fldChar w:fldCharType="separate"/>
      </w:r>
      <w:r w:rsidR="00770076" w:rsidRPr="00770076">
        <w:rPr>
          <w:rFonts w:asciiTheme="majorBidi" w:eastAsia="Calibri" w:hAnsiTheme="majorBidi" w:cstheme="majorBidi"/>
          <w:noProof/>
          <w:sz w:val="24"/>
          <w:szCs w:val="24"/>
          <w:lang w:bidi="fa-IR"/>
        </w:rPr>
        <w:t>[16,17]</w:t>
      </w:r>
      <w:r w:rsidR="0073523B" w:rsidRPr="00807368">
        <w:rPr>
          <w:rFonts w:asciiTheme="majorBidi" w:eastAsia="Calibri" w:hAnsiTheme="majorBidi" w:cstheme="majorBidi"/>
          <w:sz w:val="24"/>
          <w:szCs w:val="24"/>
          <w:lang w:bidi="fa-IR"/>
        </w:rPr>
        <w:fldChar w:fldCharType="end"/>
      </w:r>
      <w:r w:rsidRPr="00807368">
        <w:rPr>
          <w:rFonts w:asciiTheme="majorBidi" w:eastAsia="Calibri" w:hAnsiTheme="majorBidi" w:cstheme="majorBidi"/>
          <w:sz w:val="24"/>
          <w:szCs w:val="24"/>
          <w:lang w:bidi="fa-IR"/>
        </w:rPr>
        <w:t>. Alberini et al. in studies on healthy mice showed that injecting IGF-II could activates the CEREB pathway and improve memory.</w:t>
      </w:r>
      <w:r w:rsidRPr="00807368">
        <w:rPr>
          <w:rFonts w:asciiTheme="majorBidi" w:hAnsiTheme="majorBidi" w:cstheme="majorBidi"/>
          <w:sz w:val="24"/>
          <w:szCs w:val="24"/>
        </w:rPr>
        <w:t xml:space="preserve"> </w:t>
      </w:r>
      <w:r w:rsidRPr="00807368">
        <w:rPr>
          <w:rFonts w:asciiTheme="majorBidi" w:eastAsia="Calibri" w:hAnsiTheme="majorBidi" w:cstheme="majorBidi"/>
          <w:sz w:val="24"/>
          <w:szCs w:val="24"/>
          <w:lang w:bidi="fa-IR"/>
        </w:rPr>
        <w:t xml:space="preserve">Prior to these studies, it was thought that IGF-II was most important as a growth factor in evolution, but Alberini's research showed that IGF-II is not only important in the adult brain, but it also plays a key role in memory consolidation </w:t>
      </w:r>
      <w:r w:rsidR="0073523B" w:rsidRPr="00807368">
        <w:rPr>
          <w:rFonts w:asciiTheme="majorBidi" w:eastAsia="Calibri" w:hAnsiTheme="majorBidi" w:cstheme="majorBidi"/>
          <w:sz w:val="24"/>
          <w:szCs w:val="24"/>
          <w:lang w:bidi="fa-IR"/>
        </w:rPr>
        <w:fldChar w:fldCharType="begin" w:fldLock="1"/>
      </w:r>
      <w:r w:rsidR="00770076">
        <w:rPr>
          <w:rFonts w:asciiTheme="majorBidi" w:eastAsia="Calibri" w:hAnsiTheme="majorBidi" w:cstheme="majorBidi"/>
          <w:sz w:val="24"/>
          <w:szCs w:val="24"/>
          <w:lang w:bidi="fa-IR"/>
        </w:rPr>
        <w:instrText>ADDIN CSL_CITATION {"citationItems":[{"id":"ITEM-1","itemData":{"DOI":"10.1038/npp.2014.69","ISBN":"1740-634X (Electronic)\\r0006-3223 (Linking)","ISSN":"1740634X","PMID":"24642597","abstract":"To treat cognitive disorders in humans, new effective therapies that can be easily delivered systemically are needed. Previous studies showed that a bilateral injection of insulin-like growth factor II (IGF-II) into the dorsal hippocampus of rats or mice enhances fear memories and facilitates fear extinction. Here, we report that, in mice, systemic treatments with IGF-II given before training significantly enhance the retention and persistence of several types of working, short-term and long-term memories, including fear conditioning, object recognition, object placement, social recognition, and spatial reference memory. IGF-II-mediated memory enhancement does not alter memory flexibility or the ability for new learning and also occurs when IGF-II treatment is given in concert with memory retrieval. Thus IGF-II may represent a potentially important and effective treatment for enhancing human cognitive and executive functions.","author":[{"dropping-particle":"","family":"Stern","given":"Sarah A","non-dropping-particle":"","parse-names":false,"suffix":""},{"dropping-particle":"","family":"Kohtz","given":"Amy S","non-dropping-particle":"","parse-names":false,"suffix":""},{"dropping-particle":"","family":"Pollonini","given":"Gabriella","non-dropping-particle":"","parse-names":false,"suffix":""},{"dropping-particle":"","family":"Alberini","given":"Cristina M","non-dropping-particle":"","parse-names":false,"suffix":""}],"container-title":"Neuropsychopharmacology","id":"ITEM-1","issue":"9","issued":{"date-parts":[["2014","8","19"]]},"page":"2179-2190","title":"Enhancement of memories by systemic administration of insulin-like growth factor II","type":"article-journal","volume":"39"},"uris":["http://www.mendeley.com/documents/?uuid=3f601c5e-f8b0-3f65-8c2d-d13e3a7e3167"]},{"id":"ITEM-2","itemData":{"DOI":"10.1152/physrev.00017.2008","ISSN":"0031-9333","PMID":"19126756","abstract":"Transcription is a molecular requisite for long-term synaptic plasticity and long-term memory formation. Thus, in the last several years, one main interest of molecular neuroscience has been the identification of families of transcription factors that are involved in both of these processes. Transcription is a highly regulated process that involves the combined interaction and function of chromatin and many other proteins, some of which are essential for the basal process of transcription, while others control the selective activation or repression of specific genes. These regulated interactions ultimately allow a sophisticated response to multiple environmental conditions, as well as control of spatial and temporal differences in gene expression. Evidence based on correlative changes in expression, genetic mutations, and targeted molecular inhibition of gene expression have shed light on the function of transcription in both synaptic plasticity and memory formation. This review provides a brief overview of experimental work showing that several families of transcription factors, including CREB, C/EBP, Egr, AP-1, and Rel, have essential functions in both processes. The results of this work suggest that patterns of transcription regulation represent the molecular signatures of long-term synaptic changes and memory formation.","author":[{"dropping-particle":"","family":"Alberini","given":"Cristina M.","non-dropping-particle":"","parse-names":false,"suffix":""}],"container-title":"Physiological Reviews","id":"ITEM-2","issue":"1","issued":{"date-parts":[["2009","1"]]},"page":"121-145","title":"Transcription Factors in Long-Term Memory and Synaptic Plasticity","type":"article-journal","volume":"89"},"uris":["http://www.mendeley.com/documents/?uuid=2fb642d3-b83c-3d7b-a1c7-ab79bf705c62"]},{"id":"ITEM-3","itemData":{"ISSN":"0092-8674","PMID":"8137425","abstract":"The consolidation of long-term memory requires protein and mRNA synthesis. A similar requirement has been demonstrated for learning-related synaptic plasticity in the gill-withdrawal reflex of Aplysia. The monosynaptic component of this reflex can be reconstituted in vitro, where it undergoes both short- and long-term increases in synaptic strength in response to serotonin (5-HT), a neurotransmitter released during behavioral sensitization, a simple form of learning. As with sensitization, the long-term synaptic modification is characterized by a brief consolidation period during which gene expression is required. We find that during this phase, the transcription factor Aplysia CCAAT enhancer-binding protein (ApC/EBP) is induced rapidly by 5-HT and by cAMP, even in the presence of protein synthesis inhibitors. Blocking the function of ApC/EBP blocks long-term facilitation selectively without affecting the short-term process. These data indicate that cAMP-inducible immediate-early genes have an essential role in the consolidation of stable long-term synaptic plasticity in Aplysia.","author":[{"dropping-particle":"","family":"Alberini","given":"C M","non-dropping-particle":"","parse-names":false,"suffix":""},{"dropping-particle":"","family":"Ghirardi","given":"M","non-dropping-particle":"","parse-names":false,"suffix":""},{"dropping-particle":"","family":"Metz","given":"R","non-dropping-particle":"","parse-names":false,"suffix":""},{"dropping-particle":"","family":"Kandel","given":"E R","non-dropping-particle":"","parse-names":false,"suffix":""}],"container-title":"Cell","id":"ITEM-3","issue":"6","issued":{"date-parts":[["1994","3","25"]]},"page":"1099-114","title":"C/EBP is an immediate-early gene required for the consolidation of long-term facilitation in Aplysia.","type":"article-journal","volume":"76"},"uris":["http://www.mendeley.com/documents/?uuid=051c480c-ec81-3278-a326-f25fdba33869"]},{"id":"ITEM-4","itemData":{"DOI":"10.1038/nature09667","ISBN":"1476-4687 (Electronic)\\r0028-0836 (Linking)","ISSN":"00280836","PMID":"21270887","abstract":"We report that, in the rat, administering insulin-like growth factor II (IGF-II, also known as IGF2) significantly enhances memory retention and prevents forgetting. Inhibitory avoidance learning leads to an increase in hippocampal expression of IGF-II, which requires the transcription factor CCAAT enhancer binding protein β and is essential for memory consolidation. Furthermore, injections of recombinant IGF-II into the hippocampus after either training or memory retrieval significantly enhance memory retention and prevent forgetting. To be effective, IGF-II needs to be administered within a sensitive period of memory consolidation. IGF-II-dependent memory enhancement requires IGF-II receptors, new protein synthesis, the function of activity-regulated cytoskeletal-associated protein and glycogen-synthase kinase 3 (GSK3). Moreover, it correlates with a significant activation of synaptic GSK3β and increased expression of GluR1 (also known as GRIA1) α-amino-3-hydroxy-5-methyl-4-isoxasolepropionic acid receptor subunits. In hippocampal slices, IGF-II promotes IGF-II receptor-dependent, persistent long-term potentiation after weak synaptic stimulation. Thus, IGF-II may represent a novel target for cognitive enhancement therapies.","author":[{"dropping-particle":"","family":"Chen","given":"Dillon Y.","non-dropping-particle":"","parse-names":false,"suffix":""},{"dropping-particle":"","family":"Stern","given":"Sarah A.","non-dropping-particle":"","parse-names":false,"suffix":""},{"dropping-particle":"","family":"Garcia-Osta","given":"Ana","non-dropping-particle":"","parse-names":false,"suffix":""},{"dropping-particle":"","family":"Saunier-Rebori","given":"Bernadette","non-dropping-particle":"","parse-names":false,"suffix":""},{"dropping-particle":"","family":"Pollonini","given":"Gabriella","non-dropping-particle":"","parse-names":false,"suffix":""},{"dropping-particle":"","family":"Bambah-Mukku","given":"Dhananjay","non-dropping-particle":"","parse-names":false,"suffix":""},{"dropping-particle":"","family":"Blitzer","given":"Robert D.","non-dropping-particle":"","parse-names":false,"suffix":""},{"dropping-particle":"","family":"Alberini","given":"Cristina M.file:///C:/Users/farzaneh/Desktop/A critical role for IGF-II in memory consolidation and enhancement.pdf","non-dropping-particle":"","parse-names":false,"suffix":""}],"container-title":"Nature","id":"ITEM-4","issue":"7331","issued":{"date-parts":[["2011","1","27"]]},"page":"491-499","title":"A critical role for IGF-II in memory consolidation and enhancement","type":"article-journal","volume":"469"},"uris":["http://www.mendeley.com/documents/?uuid=54f82370-704b-3b52-bfae-4e999751fe56"]}],"mendeley":{"formattedCitation":"[1,7,9,10]","plainTextFormattedCitation":"[1,7,9,10]","previouslyFormattedCitation":"(1,7,9,10)"},"properties":{"noteIndex":0},"schema":"https://github.com/citation-style-language/schema/raw/master/csl-citation.json"}</w:instrText>
      </w:r>
      <w:r w:rsidR="0073523B" w:rsidRPr="00807368">
        <w:rPr>
          <w:rFonts w:asciiTheme="majorBidi" w:eastAsia="Calibri" w:hAnsiTheme="majorBidi" w:cstheme="majorBidi"/>
          <w:sz w:val="24"/>
          <w:szCs w:val="24"/>
          <w:lang w:bidi="fa-IR"/>
        </w:rPr>
        <w:fldChar w:fldCharType="separate"/>
      </w:r>
      <w:r w:rsidR="00770076" w:rsidRPr="00770076">
        <w:rPr>
          <w:rFonts w:asciiTheme="majorBidi" w:eastAsia="Calibri" w:hAnsiTheme="majorBidi" w:cstheme="majorBidi"/>
          <w:noProof/>
          <w:sz w:val="24"/>
          <w:szCs w:val="24"/>
          <w:lang w:bidi="fa-IR"/>
        </w:rPr>
        <w:t>[1,7,9,10]</w:t>
      </w:r>
      <w:r w:rsidR="0073523B" w:rsidRPr="00807368">
        <w:rPr>
          <w:rFonts w:asciiTheme="majorBidi" w:eastAsia="Calibri" w:hAnsiTheme="majorBidi" w:cstheme="majorBidi"/>
          <w:sz w:val="24"/>
          <w:szCs w:val="24"/>
          <w:lang w:bidi="fa-IR"/>
        </w:rPr>
        <w:fldChar w:fldCharType="end"/>
      </w:r>
      <w:r w:rsidRPr="00807368">
        <w:rPr>
          <w:rFonts w:asciiTheme="majorBidi" w:eastAsia="Calibri" w:hAnsiTheme="majorBidi" w:cstheme="majorBidi"/>
          <w:sz w:val="24"/>
          <w:szCs w:val="24"/>
          <w:lang w:bidi="fa-IR"/>
        </w:rPr>
        <w:t>.</w:t>
      </w:r>
    </w:p>
    <w:p w:rsidR="002B3ACD" w:rsidRPr="00807368" w:rsidRDefault="002B3ACD" w:rsidP="00925FD4">
      <w:pPr>
        <w:spacing w:line="276" w:lineRule="auto"/>
        <w:jc w:val="both"/>
        <w:rPr>
          <w:rStyle w:val="fontstyle01"/>
          <w:rFonts w:asciiTheme="majorBidi" w:hAnsiTheme="majorBidi" w:cstheme="majorBidi"/>
          <w:color w:val="000000" w:themeColor="text1"/>
          <w:sz w:val="24"/>
          <w:szCs w:val="24"/>
        </w:rPr>
      </w:pPr>
      <w:r w:rsidRPr="00807368">
        <w:rPr>
          <w:rStyle w:val="fontstyle01"/>
          <w:rFonts w:asciiTheme="majorBidi" w:hAnsiTheme="majorBidi" w:cstheme="majorBidi"/>
          <w:color w:val="000000" w:themeColor="text1"/>
          <w:sz w:val="24"/>
          <w:szCs w:val="24"/>
        </w:rPr>
        <w:t>However, the effect of IGF-II on memory impairment in pathologic conditions and brain damage is still unknown.</w:t>
      </w:r>
      <w:r w:rsidRPr="00807368">
        <w:rPr>
          <w:rFonts w:asciiTheme="majorBidi" w:hAnsiTheme="majorBidi" w:cstheme="majorBidi"/>
          <w:sz w:val="24"/>
          <w:szCs w:val="24"/>
        </w:rPr>
        <w:t xml:space="preserve"> </w:t>
      </w:r>
      <w:r w:rsidRPr="00807368">
        <w:rPr>
          <w:rStyle w:val="fontstyle01"/>
          <w:rFonts w:asciiTheme="majorBidi" w:hAnsiTheme="majorBidi" w:cstheme="majorBidi"/>
          <w:color w:val="000000" w:themeColor="text1"/>
          <w:sz w:val="24"/>
          <w:szCs w:val="24"/>
        </w:rPr>
        <w:t xml:space="preserve">Our hypothesis in this study is that the injection of exogenous IGF-II into the hippocampus after brain injury following ICH is effective in memory consolidation and </w:t>
      </w:r>
      <w:r w:rsidR="005D0EEC" w:rsidRPr="00807368">
        <w:rPr>
          <w:rStyle w:val="fontstyle01"/>
          <w:rFonts w:asciiTheme="majorBidi" w:hAnsiTheme="majorBidi" w:cstheme="majorBidi"/>
          <w:color w:val="000000" w:themeColor="text1"/>
          <w:sz w:val="24"/>
          <w:szCs w:val="24"/>
        </w:rPr>
        <w:t>retention</w:t>
      </w:r>
      <w:r w:rsidRPr="00807368">
        <w:rPr>
          <w:rStyle w:val="fontstyle01"/>
          <w:rFonts w:asciiTheme="majorBidi" w:hAnsiTheme="majorBidi" w:cstheme="majorBidi"/>
          <w:color w:val="000000" w:themeColor="text1"/>
          <w:sz w:val="24"/>
          <w:szCs w:val="24"/>
        </w:rPr>
        <w:t xml:space="preserve">. In the present study, we injected IGF-II </w:t>
      </w:r>
      <w:r w:rsidR="002F35D8" w:rsidRPr="00807368">
        <w:rPr>
          <w:rStyle w:val="fontstyle01"/>
          <w:rFonts w:asciiTheme="majorBidi" w:hAnsiTheme="majorBidi" w:cstheme="majorBidi"/>
          <w:color w:val="000000" w:themeColor="text1"/>
          <w:sz w:val="24"/>
          <w:szCs w:val="24"/>
        </w:rPr>
        <w:t xml:space="preserve">into the injured hippocampus </w:t>
      </w:r>
      <w:r w:rsidRPr="00807368">
        <w:rPr>
          <w:rStyle w:val="fontstyle01"/>
          <w:rFonts w:asciiTheme="majorBidi" w:hAnsiTheme="majorBidi" w:cstheme="majorBidi"/>
          <w:color w:val="000000" w:themeColor="text1"/>
          <w:sz w:val="24"/>
          <w:szCs w:val="24"/>
        </w:rPr>
        <w:t>30 min after induced ICH, and performed behavioral tests after 2 weeks.</w:t>
      </w:r>
      <w:r w:rsidRPr="00807368">
        <w:rPr>
          <w:rFonts w:asciiTheme="majorBidi" w:hAnsiTheme="majorBidi" w:cstheme="majorBidi"/>
          <w:sz w:val="24"/>
          <w:szCs w:val="24"/>
        </w:rPr>
        <w:t xml:space="preserve"> </w:t>
      </w:r>
      <w:r w:rsidRPr="00807368">
        <w:rPr>
          <w:rStyle w:val="fontstyle01"/>
          <w:rFonts w:asciiTheme="majorBidi" w:hAnsiTheme="majorBidi" w:cstheme="majorBidi"/>
          <w:color w:val="000000" w:themeColor="text1"/>
          <w:sz w:val="24"/>
          <w:szCs w:val="24"/>
        </w:rPr>
        <w:t>Next, in molecular studies, we investigated</w:t>
      </w:r>
      <w:r w:rsidR="00212566" w:rsidRPr="00807368">
        <w:rPr>
          <w:rStyle w:val="fontstyle01"/>
          <w:rFonts w:asciiTheme="majorBidi" w:hAnsiTheme="majorBidi" w:cstheme="majorBidi"/>
          <w:color w:val="000000" w:themeColor="text1"/>
          <w:sz w:val="24"/>
          <w:szCs w:val="24"/>
        </w:rPr>
        <w:t xml:space="preserve"> the level of</w:t>
      </w:r>
      <w:r w:rsidRPr="00807368">
        <w:rPr>
          <w:rStyle w:val="fontstyle01"/>
          <w:rFonts w:asciiTheme="majorBidi" w:hAnsiTheme="majorBidi" w:cstheme="majorBidi"/>
          <w:color w:val="000000" w:themeColor="text1"/>
          <w:sz w:val="24"/>
          <w:szCs w:val="24"/>
        </w:rPr>
        <w:t xml:space="preserve"> IGF-II gene expression.</w:t>
      </w:r>
    </w:p>
    <w:p w:rsidR="009C3B03" w:rsidRPr="00807368" w:rsidRDefault="009C3B03" w:rsidP="00925FD4">
      <w:pPr>
        <w:spacing w:line="276" w:lineRule="auto"/>
        <w:jc w:val="both"/>
        <w:rPr>
          <w:rFonts w:asciiTheme="majorBidi" w:eastAsia="Calibri" w:hAnsiTheme="majorBidi" w:cstheme="majorBidi"/>
          <w:b/>
          <w:bCs/>
          <w:sz w:val="24"/>
          <w:szCs w:val="24"/>
          <w:lang w:bidi="fa-IR"/>
        </w:rPr>
      </w:pPr>
      <w:r w:rsidRPr="00807368">
        <w:rPr>
          <w:rFonts w:asciiTheme="majorBidi" w:eastAsia="Calibri" w:hAnsiTheme="majorBidi" w:cstheme="majorBidi"/>
          <w:b/>
          <w:bCs/>
          <w:sz w:val="24"/>
          <w:szCs w:val="24"/>
          <w:lang w:bidi="fa-IR"/>
        </w:rPr>
        <w:t>Methods and Materials:</w:t>
      </w:r>
    </w:p>
    <w:p w:rsidR="009C3B03" w:rsidRPr="00807368" w:rsidRDefault="009C3B03" w:rsidP="00925FD4">
      <w:pPr>
        <w:spacing w:line="276" w:lineRule="auto"/>
        <w:rPr>
          <w:rFonts w:asciiTheme="majorBidi" w:hAnsiTheme="majorBidi" w:cstheme="majorBidi"/>
          <w:b/>
          <w:bCs/>
          <w:color w:val="000000" w:themeColor="text1"/>
          <w:sz w:val="24"/>
          <w:szCs w:val="24"/>
        </w:rPr>
      </w:pPr>
      <w:r w:rsidRPr="00807368">
        <w:rPr>
          <w:rFonts w:asciiTheme="majorBidi" w:hAnsiTheme="majorBidi" w:cstheme="majorBidi"/>
          <w:b/>
          <w:bCs/>
          <w:color w:val="000000" w:themeColor="text1"/>
          <w:sz w:val="24"/>
          <w:szCs w:val="24"/>
        </w:rPr>
        <w:t>Animals:</w:t>
      </w:r>
    </w:p>
    <w:p w:rsidR="009C3B03" w:rsidRPr="00807368" w:rsidRDefault="009C3B03" w:rsidP="00925FD4">
      <w:pPr>
        <w:spacing w:line="276" w:lineRule="auto"/>
        <w:jc w:val="both"/>
        <w:rPr>
          <w:rFonts w:asciiTheme="majorBidi" w:hAnsiTheme="majorBidi" w:cstheme="majorBidi"/>
          <w:sz w:val="24"/>
          <w:szCs w:val="24"/>
        </w:rPr>
      </w:pPr>
      <w:r w:rsidRPr="00807368">
        <w:rPr>
          <w:rFonts w:asciiTheme="majorBidi" w:hAnsiTheme="majorBidi" w:cstheme="majorBidi"/>
          <w:color w:val="000000" w:themeColor="text1"/>
          <w:sz w:val="24"/>
          <w:szCs w:val="24"/>
        </w:rPr>
        <w:t xml:space="preserve">The present study included 24 adult male Sprague-Dawley rats weighing 220–250 g that were prepared from the Center of </w:t>
      </w:r>
      <w:r w:rsidR="00832A55" w:rsidRPr="00807368">
        <w:rPr>
          <w:rFonts w:asciiTheme="majorBidi" w:eastAsia="TimesNewRomanPSMT" w:hAnsiTheme="majorBidi" w:cstheme="majorBidi"/>
          <w:sz w:val="24"/>
          <w:szCs w:val="24"/>
        </w:rPr>
        <w:t xml:space="preserve">Comparative and Experimental Medicine </w:t>
      </w:r>
      <w:r w:rsidRPr="00807368">
        <w:rPr>
          <w:rFonts w:asciiTheme="majorBidi" w:hAnsiTheme="majorBidi" w:cstheme="majorBidi"/>
          <w:color w:val="000000" w:themeColor="text1"/>
          <w:sz w:val="24"/>
          <w:szCs w:val="24"/>
        </w:rPr>
        <w:t xml:space="preserve">at Shiraz University of Medical Science in Iran. The rats were housed in accordance with standard conditions of ambient temperature (22 ± 2°C), </w:t>
      </w:r>
      <w:r w:rsidRPr="00807368">
        <w:rPr>
          <w:rStyle w:val="Emphasis"/>
          <w:rFonts w:asciiTheme="majorBidi" w:hAnsiTheme="majorBidi" w:cstheme="majorBidi"/>
          <w:i w:val="0"/>
          <w:iCs w:val="0"/>
          <w:color w:val="000000" w:themeColor="text1"/>
          <w:sz w:val="24"/>
          <w:szCs w:val="24"/>
        </w:rPr>
        <w:t>12:12 h light</w:t>
      </w:r>
      <w:r w:rsidRPr="00807368">
        <w:rPr>
          <w:rStyle w:val="st"/>
          <w:rFonts w:asciiTheme="majorBidi" w:hAnsiTheme="majorBidi" w:cstheme="majorBidi"/>
          <w:i/>
          <w:iCs/>
          <w:color w:val="000000" w:themeColor="text1"/>
          <w:sz w:val="24"/>
          <w:szCs w:val="24"/>
        </w:rPr>
        <w:t>–</w:t>
      </w:r>
      <w:r w:rsidRPr="00807368">
        <w:rPr>
          <w:rStyle w:val="Emphasis"/>
          <w:rFonts w:asciiTheme="majorBidi" w:hAnsiTheme="majorBidi" w:cstheme="majorBidi"/>
          <w:i w:val="0"/>
          <w:iCs w:val="0"/>
          <w:color w:val="000000" w:themeColor="text1"/>
          <w:sz w:val="24"/>
          <w:szCs w:val="24"/>
        </w:rPr>
        <w:t>dark cycle, and free access to water and food</w:t>
      </w:r>
      <w:r w:rsidRPr="00807368">
        <w:rPr>
          <w:rStyle w:val="Emphasis"/>
          <w:rFonts w:asciiTheme="majorBidi" w:hAnsiTheme="majorBidi" w:cstheme="majorBidi"/>
          <w:color w:val="000000" w:themeColor="text1"/>
          <w:sz w:val="24"/>
          <w:szCs w:val="24"/>
        </w:rPr>
        <w:t>.</w:t>
      </w:r>
      <w:r w:rsidRPr="00807368">
        <w:rPr>
          <w:rFonts w:asciiTheme="majorBidi" w:hAnsiTheme="majorBidi" w:cstheme="majorBidi"/>
          <w:color w:val="000000" w:themeColor="text1"/>
          <w:sz w:val="24"/>
          <w:szCs w:val="24"/>
        </w:rPr>
        <w:t xml:space="preserve"> The guidelines proposed by National Institutes of Health Guide for the Institutional Animal Care and </w:t>
      </w:r>
      <w:r w:rsidRPr="00807368">
        <w:rPr>
          <w:rFonts w:asciiTheme="majorBidi" w:hAnsiTheme="majorBidi" w:cstheme="majorBidi"/>
          <w:color w:val="231F20"/>
          <w:sz w:val="24"/>
          <w:szCs w:val="24"/>
        </w:rPr>
        <w:t>Institutional Ethic Committee</w:t>
      </w:r>
      <w:r w:rsidRPr="00807368">
        <w:rPr>
          <w:rFonts w:asciiTheme="majorBidi" w:hAnsiTheme="majorBidi" w:cstheme="majorBidi"/>
          <w:sz w:val="24"/>
          <w:szCs w:val="24"/>
        </w:rPr>
        <w:t xml:space="preserve"> at</w:t>
      </w:r>
      <w:r w:rsidRPr="00807368">
        <w:rPr>
          <w:rFonts w:asciiTheme="majorBidi" w:hAnsiTheme="majorBidi" w:cstheme="majorBidi"/>
          <w:color w:val="000000" w:themeColor="text1"/>
          <w:sz w:val="24"/>
          <w:szCs w:val="24"/>
        </w:rPr>
        <w:t xml:space="preserve"> Shiraz University of Medical Science (Ethical code: </w:t>
      </w:r>
      <w:r w:rsidRPr="00807368">
        <w:rPr>
          <w:rFonts w:asciiTheme="majorBidi" w:hAnsiTheme="majorBidi" w:cstheme="majorBidi"/>
          <w:color w:val="000000" w:themeColor="text1"/>
          <w:sz w:val="24"/>
          <w:szCs w:val="24"/>
        </w:rPr>
        <w:lastRenderedPageBreak/>
        <w:t>IR.SUMS.REC.1395.S767) were applied to perform animal experiments.</w:t>
      </w:r>
      <w:r w:rsidRPr="00807368">
        <w:rPr>
          <w:rFonts w:asciiTheme="majorBidi" w:hAnsiTheme="majorBidi" w:cstheme="majorBidi"/>
          <w:sz w:val="24"/>
          <w:szCs w:val="24"/>
        </w:rPr>
        <w:t xml:space="preserve"> Animals were handled 5 days before the behavioral experiments. On the test day, they were placed in the laboratory half an </w:t>
      </w:r>
      <w:r w:rsidRPr="00807368">
        <w:rPr>
          <w:rStyle w:val="SubtleEmphasis"/>
          <w:rFonts w:asciiTheme="majorBidi" w:hAnsiTheme="majorBidi" w:cstheme="majorBidi"/>
          <w:i w:val="0"/>
          <w:iCs w:val="0"/>
          <w:color w:val="auto"/>
          <w:sz w:val="24"/>
          <w:szCs w:val="24"/>
        </w:rPr>
        <w:t>hour</w:t>
      </w:r>
      <w:r w:rsidRPr="00807368">
        <w:rPr>
          <w:rFonts w:asciiTheme="majorBidi" w:hAnsiTheme="majorBidi" w:cstheme="majorBidi"/>
          <w:sz w:val="24"/>
          <w:szCs w:val="24"/>
        </w:rPr>
        <w:t xml:space="preserve"> before starting the experiment to </w:t>
      </w:r>
      <w:r w:rsidR="00832A55" w:rsidRPr="00807368">
        <w:rPr>
          <w:rFonts w:asciiTheme="majorBidi" w:hAnsiTheme="majorBidi" w:cstheme="majorBidi"/>
          <w:sz w:val="24"/>
          <w:szCs w:val="24"/>
        </w:rPr>
        <w:t>adopt with</w:t>
      </w:r>
      <w:r w:rsidRPr="00807368">
        <w:rPr>
          <w:rFonts w:asciiTheme="majorBidi" w:hAnsiTheme="majorBidi" w:cstheme="majorBidi"/>
          <w:sz w:val="24"/>
          <w:szCs w:val="24"/>
        </w:rPr>
        <w:t xml:space="preserve"> the environment.</w:t>
      </w:r>
    </w:p>
    <w:p w:rsidR="0008123B" w:rsidRPr="00807368" w:rsidRDefault="0008123B" w:rsidP="00925FD4">
      <w:pPr>
        <w:spacing w:line="276" w:lineRule="auto"/>
        <w:jc w:val="both"/>
        <w:rPr>
          <w:rFonts w:asciiTheme="majorBidi" w:hAnsiTheme="majorBidi" w:cstheme="majorBidi"/>
          <w:b/>
          <w:bCs/>
          <w:color w:val="000000" w:themeColor="text1"/>
          <w:sz w:val="24"/>
          <w:szCs w:val="24"/>
        </w:rPr>
      </w:pPr>
      <w:r w:rsidRPr="00807368">
        <w:rPr>
          <w:rFonts w:asciiTheme="majorBidi" w:hAnsiTheme="majorBidi" w:cstheme="majorBidi"/>
          <w:b/>
          <w:bCs/>
          <w:color w:val="000000" w:themeColor="text1"/>
          <w:sz w:val="24"/>
          <w:szCs w:val="24"/>
        </w:rPr>
        <w:t>Taking orbital sinus blood samples:</w:t>
      </w:r>
    </w:p>
    <w:p w:rsidR="0008123B" w:rsidRPr="00807368" w:rsidRDefault="0008123B" w:rsidP="00925FD4">
      <w:pPr>
        <w:spacing w:line="276" w:lineRule="auto"/>
        <w:jc w:val="both"/>
        <w:rPr>
          <w:rFonts w:asciiTheme="majorBidi" w:hAnsiTheme="majorBidi" w:cstheme="majorBidi"/>
          <w:color w:val="000000" w:themeColor="text1"/>
          <w:sz w:val="24"/>
          <w:szCs w:val="24"/>
        </w:rPr>
      </w:pPr>
      <w:r w:rsidRPr="00807368">
        <w:rPr>
          <w:rFonts w:asciiTheme="majorBidi" w:hAnsiTheme="majorBidi" w:cstheme="majorBidi"/>
          <w:color w:val="000000" w:themeColor="text1"/>
          <w:sz w:val="24"/>
          <w:szCs w:val="24"/>
        </w:rPr>
        <w:t xml:space="preserve">Following general anesthesia, blood samples were obtained from the rats using a capillary tube inserted into the eye medial canthus with 30° toward the nose. The tissue was punctured with thumb pressure to insert the plexus/sinus for holing blood flow into the capillary tube and taking samples. After removing the capillary tube, sterilized cotton was used to clean, and finger pressure was applied to prevent bleeding. After incubating the collected blood sample in room temperature (15 min), it was injected into the hippocampus </w:t>
      </w:r>
      <w:r w:rsidR="0073523B" w:rsidRPr="00807368">
        <w:rPr>
          <w:rFonts w:asciiTheme="majorBidi" w:hAnsiTheme="majorBidi" w:cstheme="majorBidi"/>
          <w:color w:val="000000" w:themeColor="text1"/>
          <w:sz w:val="24"/>
          <w:szCs w:val="24"/>
        </w:rPr>
        <w:fldChar w:fldCharType="begin" w:fldLock="1"/>
      </w:r>
      <w:r w:rsidR="00770076">
        <w:rPr>
          <w:rFonts w:asciiTheme="majorBidi" w:hAnsiTheme="majorBidi" w:cstheme="majorBidi"/>
          <w:color w:val="000000" w:themeColor="text1"/>
          <w:sz w:val="24"/>
          <w:szCs w:val="24"/>
        </w:rPr>
        <w:instrText>ADDIN CSL_CITATION {"citationItems":[{"id":"ITEM-1","itemData":{"DOI":"10.4103/0976-500X.72350","ISSN":"0976-5018","PMID":"21350616","author":[{"dropping-particle":"","family":"Parasuraman","given":"S","non-dropping-particle":"","parse-names":false,"suffix":""},{"dropping-particle":"","family":"Raveendran","given":"R","non-dropping-particle":"","parse-names":false,"suffix":""},{"dropping-particle":"","family":"Kesavan","given":"R","non-dropping-particle":"","parse-names":false,"suffix":""}],"container-title":"Journal of pharmacology &amp; pharmacotherapeutics","id":"ITEM-1","issue":"2","issued":{"date-parts":[["2010","7"]]},"page":"87-93","publisher":"Wolters Kluwer -- Medknow Publications","title":"Blood sample collection in small laboratory animals.","type":"article-journal","volume":"1"},"uris":["http://www.mendeley.com/documents/?uuid=c45a79e9-ef25-3605-b5ac-83b77117c178"]}],"mendeley":{"formattedCitation":"[18]","plainTextFormattedCitation":"[18]","previouslyFormattedCitation":"(18)"},"properties":{"noteIndex":0},"schema":"https://github.com/citation-style-language/schema/raw/master/csl-citation.json"}</w:instrText>
      </w:r>
      <w:r w:rsidR="0073523B" w:rsidRPr="00807368">
        <w:rPr>
          <w:rFonts w:asciiTheme="majorBidi" w:hAnsiTheme="majorBidi" w:cstheme="majorBidi"/>
          <w:color w:val="000000" w:themeColor="text1"/>
          <w:sz w:val="24"/>
          <w:szCs w:val="24"/>
        </w:rPr>
        <w:fldChar w:fldCharType="separate"/>
      </w:r>
      <w:r w:rsidR="00770076" w:rsidRPr="00770076">
        <w:rPr>
          <w:rFonts w:asciiTheme="majorBidi" w:hAnsiTheme="majorBidi" w:cstheme="majorBidi"/>
          <w:noProof/>
          <w:color w:val="000000" w:themeColor="text1"/>
          <w:sz w:val="24"/>
          <w:szCs w:val="24"/>
        </w:rPr>
        <w:t>[18]</w:t>
      </w:r>
      <w:r w:rsidR="0073523B" w:rsidRPr="00807368">
        <w:rPr>
          <w:rFonts w:asciiTheme="majorBidi" w:hAnsiTheme="majorBidi" w:cstheme="majorBidi"/>
          <w:color w:val="000000" w:themeColor="text1"/>
          <w:sz w:val="24"/>
          <w:szCs w:val="24"/>
        </w:rPr>
        <w:fldChar w:fldCharType="end"/>
      </w:r>
      <w:r w:rsidRPr="00807368">
        <w:rPr>
          <w:rFonts w:asciiTheme="majorBidi" w:hAnsiTheme="majorBidi" w:cstheme="majorBidi"/>
          <w:color w:val="000000" w:themeColor="text1"/>
          <w:sz w:val="24"/>
          <w:szCs w:val="24"/>
        </w:rPr>
        <w:t>.</w:t>
      </w:r>
    </w:p>
    <w:p w:rsidR="0008123B" w:rsidRPr="00807368" w:rsidRDefault="0008123B" w:rsidP="00925FD4">
      <w:pPr>
        <w:spacing w:line="276" w:lineRule="auto"/>
        <w:jc w:val="both"/>
        <w:rPr>
          <w:rFonts w:asciiTheme="majorBidi" w:hAnsiTheme="majorBidi" w:cstheme="majorBidi"/>
          <w:b/>
          <w:bCs/>
          <w:color w:val="000000" w:themeColor="text1"/>
          <w:sz w:val="24"/>
          <w:szCs w:val="24"/>
        </w:rPr>
      </w:pPr>
      <w:bookmarkStart w:id="0" w:name="_Hlk501525724"/>
      <w:r w:rsidRPr="00807368">
        <w:rPr>
          <w:rFonts w:asciiTheme="majorBidi" w:hAnsiTheme="majorBidi" w:cstheme="majorBidi"/>
          <w:b/>
          <w:bCs/>
          <w:color w:val="000000" w:themeColor="text1"/>
          <w:sz w:val="24"/>
          <w:szCs w:val="24"/>
        </w:rPr>
        <w:t>Surgical procedure</w:t>
      </w:r>
      <w:bookmarkEnd w:id="0"/>
      <w:r w:rsidRPr="00807368">
        <w:rPr>
          <w:rFonts w:asciiTheme="majorBidi" w:hAnsiTheme="majorBidi" w:cstheme="majorBidi"/>
          <w:b/>
          <w:bCs/>
          <w:color w:val="000000" w:themeColor="text1"/>
          <w:sz w:val="24"/>
          <w:szCs w:val="24"/>
        </w:rPr>
        <w:t>:</w:t>
      </w:r>
    </w:p>
    <w:p w:rsidR="0008123B" w:rsidRPr="00807368" w:rsidRDefault="0008123B" w:rsidP="00103A4B">
      <w:pPr>
        <w:spacing w:line="276" w:lineRule="auto"/>
        <w:jc w:val="both"/>
        <w:rPr>
          <w:rFonts w:asciiTheme="majorBidi" w:hAnsiTheme="majorBidi" w:cstheme="majorBidi"/>
          <w:color w:val="000000" w:themeColor="text1"/>
          <w:sz w:val="24"/>
          <w:szCs w:val="24"/>
        </w:rPr>
      </w:pPr>
      <w:r w:rsidRPr="00807368">
        <w:rPr>
          <w:rFonts w:asciiTheme="majorBidi" w:hAnsiTheme="majorBidi" w:cstheme="majorBidi"/>
          <w:color w:val="000000" w:themeColor="text1"/>
          <w:sz w:val="24"/>
          <w:szCs w:val="24"/>
        </w:rPr>
        <w:t>The animals were anesthetized with ketamine (100 mg/kg, i.p.) and xylazi</w:t>
      </w:r>
      <w:r w:rsidR="00C562EF" w:rsidRPr="00807368">
        <w:rPr>
          <w:rFonts w:asciiTheme="majorBidi" w:hAnsiTheme="majorBidi" w:cstheme="majorBidi"/>
          <w:color w:val="000000" w:themeColor="text1"/>
          <w:sz w:val="24"/>
          <w:szCs w:val="24"/>
        </w:rPr>
        <w:t>ne (10 mg/kg, i.p.) and then they</w:t>
      </w:r>
      <w:r w:rsidRPr="00807368">
        <w:rPr>
          <w:rFonts w:asciiTheme="majorBidi" w:hAnsiTheme="majorBidi" w:cstheme="majorBidi"/>
          <w:color w:val="000000" w:themeColor="text1"/>
          <w:sz w:val="24"/>
          <w:szCs w:val="24"/>
        </w:rPr>
        <w:t xml:space="preserve"> were placed in a stereotaxic frame for ICH surgery. A 2-cm incision was done in the shaven head skin to remove all soft tissue on the skull before drilling. According to Paxinos and </w:t>
      </w:r>
      <w:r w:rsidR="00103A4B" w:rsidRPr="00807368">
        <w:rPr>
          <w:rFonts w:asciiTheme="majorBidi" w:hAnsiTheme="majorBidi" w:cstheme="majorBidi"/>
          <w:sz w:val="24"/>
          <w:szCs w:val="24"/>
          <w:shd w:val="clear" w:color="auto" w:fill="FFFFFF"/>
        </w:rPr>
        <w:t>Watson</w:t>
      </w:r>
      <w:r w:rsidRPr="00807368">
        <w:rPr>
          <w:rFonts w:asciiTheme="majorBidi" w:hAnsiTheme="majorBidi" w:cstheme="majorBidi"/>
          <w:color w:val="000000" w:themeColor="text1"/>
          <w:sz w:val="24"/>
          <w:szCs w:val="24"/>
        </w:rPr>
        <w:t xml:space="preserve">, a 26-G Hamilton needle was placed in the left hippocampus in the directions of 3.4 mm anterior (AP), 2.4 mm lateral (ML) and 3.6 mm ventral (DV) in relation to Bregma </w:t>
      </w:r>
      <w:r w:rsidR="0073523B" w:rsidRPr="00807368">
        <w:rPr>
          <w:rFonts w:asciiTheme="majorBidi" w:hAnsiTheme="majorBidi" w:cstheme="majorBidi"/>
          <w:color w:val="000000" w:themeColor="text1"/>
          <w:sz w:val="24"/>
          <w:szCs w:val="24"/>
        </w:rPr>
        <w:fldChar w:fldCharType="begin" w:fldLock="1"/>
      </w:r>
      <w:r w:rsidR="00770076">
        <w:rPr>
          <w:rFonts w:asciiTheme="majorBidi" w:hAnsiTheme="majorBidi" w:cstheme="majorBidi"/>
          <w:color w:val="000000" w:themeColor="text1"/>
          <w:sz w:val="24"/>
          <w:szCs w:val="24"/>
        </w:rPr>
        <w:instrText>ADDIN CSL_CITATION {"citationItems":[{"id":"ITEM-1","itemData":{"DOI":"10.3791/880","ISSN":"1940-087X","PMID":"19078946","abstract":"The ability to measure extracellular basal levels of neurotransmitters in the brain of awake animals allows for the determination of effects of different systemic challenges (pharmacological or physiological) to the CNS. For example, one can directly measure how the animal's midbrain dopamine projections respond to dopamine-releasing drugs like d-amphetamine or natural stimuli like food. In this video, we show you how to implant guide cannulas targeting specific sites in the rat brain, how to insert and implant a microdialysis probe and how to use high performance liquid chromatography coupled with electrochemical detection (HPLC-EC) to measure extracellular levels of oxidizable neurotransmitters and metabolites. Local precise introduction of drugs through the microdialysis probe allows for refined work on site specificity in a compound s mechanism of action. This technique has excellent anatomical and chemical resolution but only modest time resolution as microdialysis samples are usually processed every 20-30 minutes to ensure detectable neurotransmitter levels. Complementary ex vivo tools (i.e., slice and cell culture electrophysiology) can assist with monitoring real-time neurotransmission.","author":[{"dropping-particle":"","family":"Geiger","given":"Brenda M","non-dropping-particle":"","parse-names":false,"suffix":""},{"dropping-particle":"","family":"Frank","given":"Lauren E","non-dropping-particle":"","parse-names":false,"suffix":""},{"dropping-particle":"","family":"Caldera-Siu","given":"Angela D","non-dropping-particle":"","parse-names":false,"suffix":""},{"dropping-particle":"","family":"Pothos","given":"Emmanuel N","non-dropping-particle":"","parse-names":false,"suffix":""}],"container-title":"Journal of visualized experiments : JoVE","id":"ITEM-1","issue":"20","issued":{"date-parts":[["2008","10","6"]]},"publisher":"MyJoVE Corporation","title":"Survivable stereotaxic surgery in rodents.","type":"article-journal"},"uris":["http://www.mendeley.com/documents/?uuid=22cbbede-930d-3b36-8b5a-0b5ed7203ce4"]}],"mendeley":{"formattedCitation":"[19]","plainTextFormattedCitation":"[19]","previouslyFormattedCitation":"(19)"},"properties":{"noteIndex":0},"schema":"https://github.com/citation-style-language/schema/raw/master/csl-citation.json"}</w:instrText>
      </w:r>
      <w:r w:rsidR="0073523B" w:rsidRPr="00807368">
        <w:rPr>
          <w:rFonts w:asciiTheme="majorBidi" w:hAnsiTheme="majorBidi" w:cstheme="majorBidi"/>
          <w:color w:val="000000" w:themeColor="text1"/>
          <w:sz w:val="24"/>
          <w:szCs w:val="24"/>
        </w:rPr>
        <w:fldChar w:fldCharType="separate"/>
      </w:r>
      <w:r w:rsidR="00770076" w:rsidRPr="00770076">
        <w:rPr>
          <w:rFonts w:asciiTheme="majorBidi" w:hAnsiTheme="majorBidi" w:cstheme="majorBidi"/>
          <w:noProof/>
          <w:color w:val="000000" w:themeColor="text1"/>
          <w:sz w:val="24"/>
          <w:szCs w:val="24"/>
        </w:rPr>
        <w:t>[19]</w:t>
      </w:r>
      <w:r w:rsidR="0073523B" w:rsidRPr="00807368">
        <w:rPr>
          <w:rFonts w:asciiTheme="majorBidi" w:hAnsiTheme="majorBidi" w:cstheme="majorBidi"/>
          <w:color w:val="000000" w:themeColor="text1"/>
          <w:sz w:val="24"/>
          <w:szCs w:val="24"/>
        </w:rPr>
        <w:fldChar w:fldCharType="end"/>
      </w:r>
      <w:r w:rsidRPr="00807368">
        <w:rPr>
          <w:rFonts w:asciiTheme="majorBidi" w:hAnsiTheme="majorBidi" w:cstheme="majorBidi"/>
          <w:color w:val="000000" w:themeColor="text1"/>
          <w:sz w:val="24"/>
          <w:szCs w:val="24"/>
        </w:rPr>
        <w:t>. Autologous blood (10</w:t>
      </w:r>
      <w:r w:rsidRPr="00807368">
        <w:rPr>
          <w:rFonts w:asciiTheme="majorBidi" w:eastAsia="Calibri" w:hAnsiTheme="majorBidi" w:cstheme="majorBidi"/>
          <w:color w:val="000000" w:themeColor="text1"/>
          <w:sz w:val="24"/>
          <w:szCs w:val="24"/>
          <w:lang w:bidi="fa-IR"/>
        </w:rPr>
        <w:t>0 µL)</w:t>
      </w:r>
      <w:r w:rsidRPr="00807368">
        <w:rPr>
          <w:rFonts w:asciiTheme="majorBidi" w:hAnsiTheme="majorBidi" w:cstheme="majorBidi"/>
          <w:color w:val="000000" w:themeColor="text1"/>
          <w:sz w:val="24"/>
          <w:szCs w:val="24"/>
        </w:rPr>
        <w:t xml:space="preserve"> from orbital sinus </w:t>
      </w:r>
      <w:r w:rsidR="00C562EF" w:rsidRPr="00807368">
        <w:rPr>
          <w:rFonts w:asciiTheme="majorBidi" w:hAnsiTheme="majorBidi" w:cstheme="majorBidi"/>
          <w:color w:val="000000" w:themeColor="text1"/>
          <w:sz w:val="24"/>
          <w:szCs w:val="24"/>
        </w:rPr>
        <w:t xml:space="preserve">was injected </w:t>
      </w:r>
      <w:r w:rsidRPr="00807368">
        <w:rPr>
          <w:rFonts w:asciiTheme="majorBidi" w:hAnsiTheme="majorBidi" w:cstheme="majorBidi"/>
          <w:color w:val="000000" w:themeColor="text1"/>
          <w:sz w:val="24"/>
          <w:szCs w:val="24"/>
        </w:rPr>
        <w:t>unilaterally into the left hippocampus</w:t>
      </w:r>
      <w:r w:rsidR="00C562EF" w:rsidRPr="00807368">
        <w:rPr>
          <w:rFonts w:asciiTheme="majorBidi" w:hAnsiTheme="majorBidi" w:cstheme="majorBidi"/>
          <w:color w:val="000000" w:themeColor="text1"/>
          <w:sz w:val="24"/>
          <w:szCs w:val="24"/>
        </w:rPr>
        <w:t xml:space="preserve"> gently within 5 min</w:t>
      </w:r>
      <w:r w:rsidRPr="00807368">
        <w:rPr>
          <w:rFonts w:asciiTheme="majorBidi" w:hAnsiTheme="majorBidi" w:cstheme="majorBidi"/>
          <w:color w:val="000000" w:themeColor="text1"/>
          <w:sz w:val="24"/>
          <w:szCs w:val="24"/>
        </w:rPr>
        <w:t xml:space="preserve">. The blood starts to clot after 10 min, which should be removed to impede the backﬂow. </w:t>
      </w:r>
      <w:r w:rsidRPr="00807368">
        <w:rPr>
          <w:rStyle w:val="Emphasis"/>
          <w:rFonts w:asciiTheme="majorBidi" w:hAnsiTheme="majorBidi" w:cstheme="majorBidi"/>
          <w:i w:val="0"/>
          <w:iCs w:val="0"/>
          <w:color w:val="000000" w:themeColor="text1"/>
          <w:sz w:val="24"/>
          <w:szCs w:val="24"/>
        </w:rPr>
        <w:t>Acrylic dental</w:t>
      </w:r>
      <w:r w:rsidRPr="00807368">
        <w:rPr>
          <w:rFonts w:asciiTheme="majorBidi" w:hAnsiTheme="majorBidi" w:cstheme="majorBidi"/>
          <w:i/>
          <w:iCs/>
          <w:color w:val="000000" w:themeColor="text1"/>
          <w:sz w:val="24"/>
          <w:szCs w:val="24"/>
        </w:rPr>
        <w:t> </w:t>
      </w:r>
      <w:r w:rsidRPr="00807368">
        <w:rPr>
          <w:rFonts w:asciiTheme="majorBidi" w:hAnsiTheme="majorBidi" w:cstheme="majorBidi"/>
          <w:color w:val="000000" w:themeColor="text1"/>
          <w:sz w:val="24"/>
          <w:szCs w:val="24"/>
        </w:rPr>
        <w:t xml:space="preserve">cement was used to seal the drilled hole and then the skin was sutured. Meloxicam (0.1 mg/kg) was injected to maintain the post-operative analgesia. The sterilized saline (vehicle) was replaced with blood in the sham group and IGF-II </w:t>
      </w:r>
      <w:r w:rsidR="00270BFF" w:rsidRPr="00807368">
        <w:rPr>
          <w:rFonts w:asciiTheme="majorBidi" w:hAnsiTheme="majorBidi" w:cstheme="majorBidi"/>
          <w:color w:val="000000" w:themeColor="text1"/>
          <w:sz w:val="24"/>
          <w:szCs w:val="24"/>
        </w:rPr>
        <w:t xml:space="preserve">with concentration of </w:t>
      </w:r>
      <w:r w:rsidRPr="00807368">
        <w:rPr>
          <w:rFonts w:asciiTheme="majorBidi" w:hAnsiTheme="majorBidi" w:cstheme="majorBidi"/>
          <w:color w:val="000000" w:themeColor="text1"/>
          <w:sz w:val="24"/>
          <w:szCs w:val="24"/>
        </w:rPr>
        <w:t xml:space="preserve">250 </w:t>
      </w:r>
      <w:r w:rsidRPr="00807368">
        <w:rPr>
          <w:rFonts w:asciiTheme="majorBidi" w:eastAsia="Calibri" w:hAnsiTheme="majorBidi" w:cstheme="majorBidi"/>
          <w:color w:val="000000" w:themeColor="text1"/>
          <w:sz w:val="24"/>
          <w:szCs w:val="24"/>
          <w:lang w:bidi="fa-IR"/>
        </w:rPr>
        <w:t>ng/</w:t>
      </w:r>
      <w:r w:rsidRPr="00807368">
        <w:rPr>
          <w:rFonts w:asciiTheme="majorBidi" w:hAnsiTheme="majorBidi" w:cstheme="majorBidi"/>
          <w:color w:val="000000" w:themeColor="text1"/>
          <w:sz w:val="24"/>
          <w:szCs w:val="24"/>
        </w:rPr>
        <w:t xml:space="preserve">1 </w:t>
      </w:r>
      <w:r w:rsidR="00270BFF" w:rsidRPr="00807368">
        <w:rPr>
          <w:rFonts w:asciiTheme="majorBidi" w:eastAsia="Calibri" w:hAnsiTheme="majorBidi" w:cstheme="majorBidi"/>
          <w:color w:val="000000" w:themeColor="text1"/>
          <w:sz w:val="24"/>
          <w:szCs w:val="24"/>
          <w:lang w:bidi="fa-IR"/>
        </w:rPr>
        <w:t>µL (</w:t>
      </w:r>
      <w:r w:rsidRPr="00807368">
        <w:rPr>
          <w:rFonts w:asciiTheme="majorBidi" w:hAnsiTheme="majorBidi" w:cstheme="majorBidi"/>
          <w:color w:val="000000" w:themeColor="text1"/>
          <w:sz w:val="24"/>
          <w:szCs w:val="24"/>
        </w:rPr>
        <w:t>R&amp;D, USA)</w:t>
      </w:r>
      <w:r w:rsidR="00270BFF" w:rsidRPr="00807368">
        <w:rPr>
          <w:rFonts w:asciiTheme="majorBidi" w:hAnsiTheme="majorBidi" w:cstheme="majorBidi"/>
          <w:color w:val="000000" w:themeColor="text1"/>
          <w:sz w:val="24"/>
          <w:szCs w:val="24"/>
        </w:rPr>
        <w:t xml:space="preserve">, according to our pilot study, </w:t>
      </w:r>
      <w:r w:rsidRPr="00807368">
        <w:rPr>
          <w:rFonts w:asciiTheme="majorBidi" w:hAnsiTheme="majorBidi" w:cstheme="majorBidi"/>
          <w:color w:val="000000" w:themeColor="text1"/>
          <w:sz w:val="24"/>
          <w:szCs w:val="24"/>
        </w:rPr>
        <w:t xml:space="preserve">was injected into the hematoma, 30 min after injecting the blood in ICH–IGF-II group. After the end of surgical procedure, the operated rats were housed aseptically again in the same cage and controlled until they recovered from anesthesia </w:t>
      </w:r>
      <w:r w:rsidR="0073523B" w:rsidRPr="00807368">
        <w:rPr>
          <w:rFonts w:asciiTheme="majorBidi" w:hAnsiTheme="majorBidi" w:cstheme="majorBidi"/>
          <w:color w:val="000000" w:themeColor="text1"/>
          <w:sz w:val="24"/>
          <w:szCs w:val="24"/>
        </w:rPr>
        <w:fldChar w:fldCharType="begin" w:fldLock="1"/>
      </w:r>
      <w:r w:rsidR="00770076">
        <w:rPr>
          <w:rFonts w:asciiTheme="majorBidi" w:hAnsiTheme="majorBidi" w:cstheme="majorBidi"/>
          <w:color w:val="000000" w:themeColor="text1"/>
          <w:sz w:val="24"/>
          <w:szCs w:val="24"/>
        </w:rPr>
        <w:instrText>ADDIN CSL_CITATION {"citationItems":[{"id":"ITEM-1","itemData":{"DOI":"10.3791/4289","ISSN":"1940-087X","PMID":"23023153","abstract":"Spontaneous intracerebral hemorrhage (ICH) defines a potentially life-threatening neurological malady that accounts for 10-15% of all stroke-related hospitalizations and for which no effective treatments are available to date(1,2). Because of the heterogeneity of ICH in humans, various preclinical models are needed to thoroughly explore prospective therapeutic strategies(3). Experimental ICH is commonly induced in rodents by intraparenchymal injection of either autologous blood or bacterial collagenase(4). The appropriate model is selected based on the pathophysiology of hemorrhage induction and injury progression. The blood injection model mimics a rapidly progressing hemorrhage. Alternatively, bacterial collagenase enzymatically disrupts the basal lamina of brain capillaries, causing an active bleed that generally evolves over several hours(5). Resultant perihematomal edema and neurofunctional deficits can be quantified from both models. In this study, we described and evaluated a modified double injection model of autologous whole blood(6) as well as an ICH injection model of bacterial collagenase(7), both of which target the basal ganglia (corpus striatum) of male CD-1 mice. We assessed neurofunctional deficits and brain edema at 24 and 72 hr after ICH induction. Intrastriatal injection of autologous blood (30 μl) or bacterial collagenase (0.075U) caused reproducible neurofunctional deficits in mice and significantly increased brain edema at 24 and 72 hr after surgery (p&lt;0.05). In conclusion, both models yield consistent hemorrhagic infarcts and represent basic methods for preclinical ICH research.","author":[{"dropping-particle":"","family":"Krafft","given":"Paul R.","non-dropping-particle":"","parse-names":false,"suffix":""},{"dropping-particle":"","family":"Rolland","given":"William B.","non-dropping-particle":"","parse-names":false,"suffix":""},{"dropping-particle":"","family":"Duris","given":"Kamil","non-dropping-particle":"","parse-names":false,"suffix":""},{"dropping-particle":"","family":"Lekic","given":"Tim","non-dropping-particle":"","parse-names":false,"suffix":""},{"dropping-particle":"","family":"Campbell","given":"Aaron","non-dropping-particle":"","parse-names":false,"suffix":""},{"dropping-particle":"","family":"Tang","given":"Jiping","non-dropping-particle":"","parse-names":false,"suffix":""},{"dropping-particle":"","family":"Zhang","given":"John H.","non-dropping-particle":"","parse-names":false,"suffix":""}],"container-title":"Journal of Visualized Experiments","id":"ITEM-1","issue":"67","issued":{"date-parts":[["2012","9","22"]]},"page":"e4289","title":"Modeling Intracerebral Hemorrhage in Mice: Injection of Autologous Blood or Bacterial Collagenase","type":"article-journal"},"uris":["http://www.mendeley.com/documents/?uuid=fac7849a-654d-35d1-b626-c04ef52d0ef7"]},{"id":"ITEM-2","itemData":{"DOI":"10.1007/s11064-017-2257-1","ISSN":"0364-3190","PMID":"28488233","abstract":"This study aimed to study the role of P2X7 in intracerebral hemorrhage (ICH)-induced secondary brain injury (SBI) and the underlying mechanisms. An autologous blood injection was used to induce ICH model in Sprague-Dawley rats, and cultured primary rat cortical neurons were exposed to oxyhemoglobin to mimic ICH in vitro. siRNA interference and over-expression of P2X7, agonists and antagonists of P2X7, p38 MAPK and ERK were exploited. The protein levels were assessed using Western blotting and immunofluorescence staining. Terminal deoxynucleotidyl transferase dUTP nick end labeling staining and Fluoro-Jade B were conducted to detect apoptotic and degenerating neurons. The protein levels of P2X7, phosphorylated p38, ERK, active caspase-3 and NF-κB were significantly increased by ICH, which could be further increased by BzATP (P2X7 agonist) and reduced by BBG (P2X7 antagonist). And BzATP demonstrated a significant increase in cell death ratio and brain water content, while BBG led to a reverse results. In addition, Over- P2X7 increased the levels of P2X7, phosphorylated p38, ERK, active caspase-3 and NF-κB, and aggravated cell apoptosis, while si P2X7 resulted in opposite effects. Finally, the protein levels of phosphorylated P38 and active caspase 3 were decreased by BzATP plus Hydrochloride (p38 MAPK antagonist) and increased vy BBG plus Asiatic acid (p38 MAPK agonist), while the protein levels of phosphorylated ERK and NF-κB were decreased with BzATP plus Nimbolide (ERK antagonist) and increased with BBG plus Saikosaponin C (ERK agonist). This study demonstrates that inhibition of P2X7 could prevent ICH-induced SBI via MAPKs signaling pathway.","author":[{"dropping-particle":"","family":"Wen","given":"Zunjia","non-dropping-particle":"","parse-names":false,"suffix":""},{"dropping-particle":"","family":"Mei","given":"Binbin","non-dropping-particle":"","parse-names":false,"suffix":""},{"dropping-particle":"","family":"Li","given":"Haiying","non-dropping-particle":"","parse-names":false,"suffix":""},{"dropping-particle":"","family":"Dou","given":"Yang","non-dropping-particle":"","parse-names":false,"suffix":""},{"dropping-particle":"","family":"Tian","given":"Xiaodi","non-dropping-particle":"","parse-names":false,"suffix":""},{"dropping-particle":"","family":"Shen","given":"Meifen","non-dropping-particle":"","parse-names":false,"suffix":""},{"dropping-particle":"","family":"Chen","given":"Gang","non-dropping-particle":"","parse-names":false,"suffix":""}],"container-title":"Neurochemical Research","id":"ITEM-2","issue":"8","issued":{"date-parts":[["2017","8","9"]]},"page":"2372-2383","title":"P2X7 Participates in Intracerebral Hemorrhage-Induced Secondary Brain Injury in Rats via MAPKs Signaling Pathways","type":"article-journal","volume":"42"},"uris":["http://www.mendeley.com/documents/?uuid=228ebc77-2050-3bcc-9887-84e39a81097a"]},{"id":"ITEM-3","itemData":{"DOI":"10.3791/2618","ISSN":"1940-087X","PMID":"21876533","abstract":"Investigation of the pathophysiology of injury after intracerebral hemorrhage (ICH) requires a reproducible animal model. While ICH accounts for 10-15% of all strokes, there remains no specific effective therapy. The autologous blood injection model in mice involves the stereotaxic injection of arterial blood into the basal ganglia mimicking a spontaneous hypertensive hemorrhage in man. The response to hemorrhage can then be studied in vivo and the neurobehavioral deficits quantified, allowing for description of the ensuing pathology and the testing of potential therapeutic agents. The procedure described in this protocol uses the double injection technique to minimize risk of blood reflux up the needle track, no anticoagulants in the pumping system, and eliminates all dead space and expandable tubing in the system.","author":[{"dropping-particle":"","family":"Sansing","given":"Lauren H.","non-dropping-particle":"","parse-names":false,"suffix":""},{"dropping-particle":"","family":"Kasner","given":"Scott E.","non-dropping-particle":"","parse-names":false,"suffix":""},{"dropping-particle":"","family":"McCullough","given":"Louise","non-dropping-particle":"","parse-names":false,"suffix":""},{"dropping-particle":"","family":"Agarwal","given":"Puneet","non-dropping-particle":"","parse-names":false,"suffix":""},{"dropping-particle":"","family":"Welsh","given":"Frank A.","non-dropping-particle":"","parse-names":false,"suffix":""},{"dropping-particle":"","family":"Kariko","given":"Katalin","non-dropping-particle":"","parse-names":false,"suffix":""}],"container-title":"Journal of Visualized Experiments","id":"ITEM-3","issue":"54","issued":{"date-parts":[["2011","8","24"]]},"title":"Autologous Blood Injection to Model Spontaneous Intracerebral Hemorrhage in Mice","type":"article-journal"},"uris":["http://www.mendeley.com/documents/?uuid=777507ff-b650-32db-ac4d-5872799793ea"]}],"mendeley":{"formattedCitation":"[20–22]","plainTextFormattedCitation":"[20–22]","previouslyFormattedCitation":"(20–22)"},"properties":{"noteIndex":0},"schema":"https://github.com/citation-style-language/schema/raw/master/csl-citation.json"}</w:instrText>
      </w:r>
      <w:r w:rsidR="0073523B" w:rsidRPr="00807368">
        <w:rPr>
          <w:rFonts w:asciiTheme="majorBidi" w:hAnsiTheme="majorBidi" w:cstheme="majorBidi"/>
          <w:color w:val="000000" w:themeColor="text1"/>
          <w:sz w:val="24"/>
          <w:szCs w:val="24"/>
        </w:rPr>
        <w:fldChar w:fldCharType="separate"/>
      </w:r>
      <w:r w:rsidR="00770076" w:rsidRPr="00770076">
        <w:rPr>
          <w:rFonts w:asciiTheme="majorBidi" w:hAnsiTheme="majorBidi" w:cstheme="majorBidi"/>
          <w:noProof/>
          <w:color w:val="000000" w:themeColor="text1"/>
          <w:sz w:val="24"/>
          <w:szCs w:val="24"/>
        </w:rPr>
        <w:t>[20–22]</w:t>
      </w:r>
      <w:r w:rsidR="0073523B" w:rsidRPr="00807368">
        <w:rPr>
          <w:rFonts w:asciiTheme="majorBidi" w:hAnsiTheme="majorBidi" w:cstheme="majorBidi"/>
          <w:color w:val="000000" w:themeColor="text1"/>
          <w:sz w:val="24"/>
          <w:szCs w:val="24"/>
        </w:rPr>
        <w:fldChar w:fldCharType="end"/>
      </w:r>
      <w:r w:rsidRPr="00807368">
        <w:rPr>
          <w:rFonts w:asciiTheme="majorBidi" w:hAnsiTheme="majorBidi" w:cstheme="majorBidi"/>
          <w:color w:val="000000" w:themeColor="text1"/>
          <w:sz w:val="24"/>
          <w:szCs w:val="24"/>
        </w:rPr>
        <w:t>.</w:t>
      </w:r>
    </w:p>
    <w:p w:rsidR="00CE7217" w:rsidRPr="00807368" w:rsidRDefault="00CE7217" w:rsidP="00925FD4">
      <w:pPr>
        <w:spacing w:line="276" w:lineRule="auto"/>
        <w:jc w:val="both"/>
        <w:rPr>
          <w:rFonts w:asciiTheme="majorBidi" w:hAnsiTheme="majorBidi" w:cstheme="majorBidi"/>
          <w:b/>
          <w:bCs/>
          <w:color w:val="000000" w:themeColor="text1"/>
          <w:sz w:val="24"/>
          <w:szCs w:val="24"/>
        </w:rPr>
      </w:pPr>
      <w:r w:rsidRPr="00807368">
        <w:rPr>
          <w:rFonts w:asciiTheme="majorBidi" w:hAnsiTheme="majorBidi" w:cstheme="majorBidi"/>
          <w:b/>
          <w:bCs/>
          <w:color w:val="000000" w:themeColor="text1"/>
          <w:sz w:val="24"/>
          <w:szCs w:val="24"/>
        </w:rPr>
        <w:t>Behavioral test</w:t>
      </w:r>
    </w:p>
    <w:p w:rsidR="0008123B" w:rsidRPr="00807368" w:rsidRDefault="0008123B" w:rsidP="00925FD4">
      <w:pPr>
        <w:spacing w:line="276" w:lineRule="auto"/>
        <w:jc w:val="both"/>
        <w:rPr>
          <w:rFonts w:asciiTheme="majorBidi" w:hAnsiTheme="majorBidi" w:cstheme="majorBidi"/>
          <w:sz w:val="24"/>
          <w:szCs w:val="24"/>
        </w:rPr>
      </w:pPr>
      <w:r w:rsidRPr="00807368">
        <w:rPr>
          <w:rFonts w:asciiTheme="majorBidi" w:eastAsia="Calibri" w:hAnsiTheme="majorBidi" w:cstheme="majorBidi"/>
          <w:b/>
          <w:bCs/>
          <w:sz w:val="24"/>
          <w:szCs w:val="24"/>
          <w:lang w:bidi="fa-IR"/>
        </w:rPr>
        <w:t>Neurologic deficit score:</w:t>
      </w:r>
    </w:p>
    <w:p w:rsidR="0008123B" w:rsidRPr="00807368" w:rsidRDefault="00103A4B" w:rsidP="00925FD4">
      <w:pPr>
        <w:spacing w:line="276" w:lineRule="auto"/>
        <w:jc w:val="both"/>
        <w:rPr>
          <w:rFonts w:asciiTheme="majorBidi" w:hAnsiTheme="majorBidi" w:cstheme="majorBidi"/>
          <w:sz w:val="24"/>
          <w:szCs w:val="24"/>
        </w:rPr>
      </w:pPr>
      <w:r w:rsidRPr="00807368">
        <w:rPr>
          <w:rFonts w:asciiTheme="majorBidi" w:hAnsiTheme="majorBidi" w:cstheme="majorBidi"/>
          <w:sz w:val="24"/>
          <w:szCs w:val="24"/>
        </w:rPr>
        <w:t xml:space="preserve">All 6 parameters of the </w:t>
      </w:r>
      <w:r w:rsidRPr="00807368">
        <w:rPr>
          <w:rFonts w:asciiTheme="majorBidi" w:eastAsia="Calibri" w:hAnsiTheme="majorBidi" w:cstheme="majorBidi"/>
          <w:sz w:val="24"/>
          <w:szCs w:val="24"/>
          <w:lang w:bidi="fa-IR"/>
        </w:rPr>
        <w:t>Neurologic deficit score including</w:t>
      </w:r>
      <w:r w:rsidRPr="00807368">
        <w:rPr>
          <w:rFonts w:asciiTheme="majorBidi" w:eastAsia="Calibri" w:hAnsiTheme="majorBidi" w:cstheme="majorBidi"/>
          <w:b/>
          <w:bCs/>
          <w:sz w:val="24"/>
          <w:szCs w:val="24"/>
          <w:lang w:bidi="fa-IR"/>
        </w:rPr>
        <w:t xml:space="preserve"> </w:t>
      </w:r>
      <w:r w:rsidRPr="00807368">
        <w:rPr>
          <w:rFonts w:asciiTheme="majorBidi" w:hAnsiTheme="majorBidi" w:cstheme="majorBidi"/>
          <w:sz w:val="24"/>
          <w:szCs w:val="24"/>
        </w:rPr>
        <w:t>body symmetry, climbing, gait, circling behavior, compulsory circling, and front limb symmetry were measured after 1, 3, 7, and 14 days of post-ICH for each rat. Each item was scored from 3 to 18 that 3 refers to maximum deficit and 18 to normal animal.</w:t>
      </w:r>
      <w:r w:rsidR="0008123B" w:rsidRPr="00807368">
        <w:rPr>
          <w:rFonts w:asciiTheme="majorBidi" w:hAnsiTheme="majorBidi" w:cstheme="majorBidi"/>
          <w:sz w:val="24"/>
          <w:szCs w:val="24"/>
        </w:rPr>
        <w:t xml:space="preserve"> </w:t>
      </w:r>
      <w:r w:rsidR="0073523B" w:rsidRPr="00807368">
        <w:rPr>
          <w:rFonts w:asciiTheme="majorBidi" w:hAnsiTheme="majorBidi" w:cstheme="majorBidi"/>
          <w:sz w:val="24"/>
          <w:szCs w:val="24"/>
        </w:rPr>
        <w:fldChar w:fldCharType="begin" w:fldLock="1"/>
      </w:r>
      <w:r w:rsidR="00770076">
        <w:rPr>
          <w:rFonts w:asciiTheme="majorBidi" w:hAnsiTheme="majorBidi" w:cstheme="majorBidi"/>
          <w:sz w:val="24"/>
          <w:szCs w:val="24"/>
        </w:rPr>
        <w:instrText>ADDIN CSL_CITATION {"citationItems":[{"id":"ITEM-1","itemData":{"ISSN":"0039-2499","PMID":"7709410","abstract":"BACKGROUND AND PURPOSE Occluding a large intracranial artery in rats produces a brain lesion that grows in terms of an increase in both surface area and number of necrotic neurons. The present study investigated whether reperfusing the ischemic territory 30 to 60 minutes after the arterial occlusion would have a beneficial effect on either the clinical or the histological outcome of the lesion. METHODS One hundred four adult rats (including appropriate controls) were used; 97 had a middle cerebral artery occluded by inserting a nylon monofilament via the right external carotid artery. The arterial occlusion was transient in two groups and permanent in another; survival times were comparable for all groups. Control animals were subjected to a sham operation during which the artery was occluded for less than 1 minute. The outcome was evaluated by measuring the extent of the neurological deficit and the severity of the histological injury. RESULTS Mean neurological score and mean number of necrotic neurons in the cortex were more favorable after transient (30- to 60-minute) compared with permanent arterial occlusion (P &lt; .005). Moreover, the correlation between mean neurological score and mean number of necrotic neurons was highly significant: r = .951; P &lt; .001. CONCLUSIONS The histological effects of an intracranial arterial occlusion in the adult rat can be predicted on day 1 by the neurological score described in this report. Significant improvement can be obtained in these animals by reestablishing arterial flow 60 minutes or sooner after the ictus. The pattern of cortical pannecrosis observed after permanent occlusion (&gt; or = 72 hours) was transformed into incomplete ischemic injury in most instances of transient occlusion.","author":[{"dropping-particle":"","family":"Garcia","given":"J H","non-dropping-particle":"","parse-names":false,"suffix":""},{"dropping-particle":"","family":"Wagner","given":"S","non-dropping-particle":"","parse-names":false,"suffix":""},{"dropping-particle":"","family":"Liu","given":"K F","non-dropping-particle":"","parse-names":false,"suffix":""},{"dropping-particle":"","family":"Hu","given":"X J","non-dropping-particle":"","parse-names":false,"suffix":""}],"container-title":"Stroke","id":"ITEM-1","issue":"4","issued":{"date-parts":[["1995","4"]]},"page":"627-34; discussion 635","title":"Neurological deficit and extent of neuronal necrosis attributable to middle cerebral artery occlusion in rats. Statistical validation.","type":"article-journal","volume":"26"},"uris":["http://www.mendeley.com/documents/?uuid=16a59de1-3407-35bd-baca-d3915a53c368"]}],"mendeley":{"formattedCitation":"[23]","plainTextFormattedCitation":"[23]","previouslyFormattedCitation":"(23)"},"properties":{"noteIndex":0},"schema":"https://github.com/citation-style-language/schema/raw/master/csl-citation.json"}</w:instrText>
      </w:r>
      <w:r w:rsidR="0073523B" w:rsidRPr="00807368">
        <w:rPr>
          <w:rFonts w:asciiTheme="majorBidi" w:hAnsiTheme="majorBidi" w:cstheme="majorBidi"/>
          <w:sz w:val="24"/>
          <w:szCs w:val="24"/>
        </w:rPr>
        <w:fldChar w:fldCharType="separate"/>
      </w:r>
      <w:r w:rsidR="00770076" w:rsidRPr="00770076">
        <w:rPr>
          <w:rFonts w:asciiTheme="majorBidi" w:hAnsiTheme="majorBidi" w:cstheme="majorBidi"/>
          <w:noProof/>
          <w:sz w:val="24"/>
          <w:szCs w:val="24"/>
        </w:rPr>
        <w:t>[23]</w:t>
      </w:r>
      <w:r w:rsidR="0073523B" w:rsidRPr="00807368">
        <w:rPr>
          <w:rFonts w:asciiTheme="majorBidi" w:hAnsiTheme="majorBidi" w:cstheme="majorBidi"/>
          <w:sz w:val="24"/>
          <w:szCs w:val="24"/>
        </w:rPr>
        <w:fldChar w:fldCharType="end"/>
      </w:r>
      <w:r w:rsidR="0008123B" w:rsidRPr="00807368">
        <w:rPr>
          <w:rFonts w:asciiTheme="majorBidi" w:hAnsiTheme="majorBidi" w:cstheme="majorBidi"/>
          <w:sz w:val="24"/>
          <w:szCs w:val="24"/>
        </w:rPr>
        <w:t>.</w:t>
      </w:r>
    </w:p>
    <w:p w:rsidR="0008123B" w:rsidRPr="00807368" w:rsidRDefault="0008123B" w:rsidP="00925FD4">
      <w:pPr>
        <w:spacing w:line="276" w:lineRule="auto"/>
        <w:jc w:val="both"/>
        <w:rPr>
          <w:rFonts w:asciiTheme="majorBidi" w:hAnsiTheme="majorBidi" w:cstheme="majorBidi"/>
          <w:b/>
          <w:bCs/>
          <w:sz w:val="24"/>
          <w:szCs w:val="24"/>
        </w:rPr>
      </w:pPr>
      <w:r w:rsidRPr="00807368">
        <w:rPr>
          <w:rFonts w:asciiTheme="majorBidi" w:hAnsiTheme="majorBidi" w:cstheme="majorBidi"/>
          <w:b/>
          <w:bCs/>
          <w:sz w:val="24"/>
          <w:szCs w:val="24"/>
        </w:rPr>
        <w:t>Assessment of wire-hanging test:</w:t>
      </w:r>
    </w:p>
    <w:p w:rsidR="0008123B" w:rsidRPr="00807368" w:rsidRDefault="0008123B" w:rsidP="00925FD4">
      <w:pPr>
        <w:spacing w:line="276" w:lineRule="auto"/>
        <w:jc w:val="both"/>
        <w:rPr>
          <w:rFonts w:asciiTheme="majorBidi" w:hAnsiTheme="majorBidi" w:cstheme="majorBidi"/>
          <w:sz w:val="24"/>
          <w:szCs w:val="24"/>
        </w:rPr>
      </w:pPr>
      <w:r w:rsidRPr="00807368">
        <w:rPr>
          <w:rFonts w:asciiTheme="majorBidi" w:hAnsiTheme="majorBidi" w:cstheme="majorBidi"/>
          <w:sz w:val="24"/>
          <w:szCs w:val="24"/>
        </w:rPr>
        <w:t xml:space="preserve">A wire (2 × 60 mm) was installed between two platforms with a height of 50 cm and then the animals were placed midway for a maximum of 5 min. In this way the grip strength and balance were observed on days 1, 3, 7, and 14 post-ICH. To control any injury caused by possible falls, a </w:t>
      </w:r>
      <w:r w:rsidRPr="00807368">
        <w:rPr>
          <w:rFonts w:asciiTheme="majorBidi" w:hAnsiTheme="majorBidi" w:cstheme="majorBidi"/>
          <w:sz w:val="24"/>
          <w:szCs w:val="24"/>
        </w:rPr>
        <w:lastRenderedPageBreak/>
        <w:t xml:space="preserve">pillow was placed under the animal. The suspension time of the rat on the wire was recorded </w:t>
      </w:r>
      <w:r w:rsidR="0073523B" w:rsidRPr="00807368">
        <w:rPr>
          <w:rFonts w:asciiTheme="majorBidi" w:hAnsiTheme="majorBidi" w:cstheme="majorBidi"/>
          <w:sz w:val="24"/>
          <w:szCs w:val="24"/>
        </w:rPr>
        <w:fldChar w:fldCharType="begin" w:fldLock="1"/>
      </w:r>
      <w:r w:rsidR="00770076">
        <w:rPr>
          <w:rFonts w:asciiTheme="majorBidi" w:hAnsiTheme="majorBidi" w:cstheme="majorBidi"/>
          <w:sz w:val="24"/>
          <w:szCs w:val="24"/>
        </w:rPr>
        <w:instrText>ADDIN CSL_CITATION {"citationItems":[{"id":"ITEM-1","itemData":{"DOI":"10.1016/j.ctim.2017.03.014","ISSN":"09652299","PMID":"28619309","abstract":"BACKGROUND Hemorrhagic stroke accounts for approximately 15% of all stroke cases, and is associated with high morbidity and mortality. Limited human studies suggested that scalp acupuncture could facilitate functional recovery after cerebral hemorrhage. In the current study, we used an animal model of cerebral hemorrhage to examine the potential effects of scalp acupuncture. METHODS Adult male Sprague-Dawley rats received autologous blood (50μL) into the right caudate nucleus on the right side under pentobarbital anesthesia, and then received scalp acupuncture (DU20 through GB7 on the lesion side) or sham acupuncture (1cm to the right side of the acupoints) (n=10 per group). A group of rats receiving autologous blood into the caudate nucleus but no other intervention, as well as a group of rats receiving anesthesia but no blood injection to the brain (n=10 per group) were included as additional controls. Composite neuroscore, corner turn test, forelimb placing test, wire hang task and beam walking were used to evaluate the behavior of rats. Hematoxylin and Eosin (HE) staining was used to observe the histopathological changes. Western blot was used to detect the content of tumor necrosis factor alpha (TNF-α) and nuclear factor-KappaB (NFκB) protein expression. RESULTS Scalp acupuncture attenuated neurological deficits (p&lt;0.01 or &lt;0.05 vs. sham acupuncture using a variety of behavioral tests) at 1-7days after the treatment. The brain content of TNF-α and NFκB was decreased (p&lt;0.01 for both). CONCLUSIONS Scalp acupuncture could improve neurological deficits in a rat model of hemorrhagic stroke.","author":[{"dropping-particle":"","family":"Liu","given":"Hao","non-dropping-particle":"","parse-names":false,"suffix":""},{"dropping-particle":"","family":"Sun","given":"Xiaowei","non-dropping-particle":"","parse-names":false,"suffix":""},{"dropping-particle":"","family":"Zou","given":"Wei","non-dropping-particle":"","parse-names":false,"suffix":""},{"dropping-particle":"","family":"Leng","given":"Mengtong","non-dropping-particle":"","parse-names":false,"suffix":""},{"dropping-particle":"","family":"Zhang","given":"Beng","non-dropping-particle":"","parse-names":false,"suffix":""},{"dropping-particle":"","family":"Kang","given":"Xiaoyu","non-dropping-particle":"","parse-names":false,"suffix":""},{"dropping-particle":"","family":"He","given":"Tao","non-dropping-particle":"","parse-names":false,"suffix":""},{"dropping-particle":"","family":"Wang","given":"Hui","non-dropping-particle":"","parse-names":false,"suffix":""}],"container-title":"Complementary Therapies in Medicine","id":"ITEM-1","issued":{"date-parts":[["2017","6"]]},"page":"85-90","title":"Scalp acupuncture attenuates neurological deficits in a rat model of hemorrhagic stroke","type":"article-journal","volume":"32"},"uris":["http://www.mendeley.com/documents/?uuid=f572bfe2-0495-32a7-a23f-9a1b5ad16017"]},{"id":"ITEM-2","itemData":{"DOI":"10.1371/journal.pone.0097423","ISSN":"1932-6203","PMID":"24831292","abstract":"Intracerebral hemorrhage (ICH) is a devastating condition. Existing preclinical ICH models focus largely on striatum but neglect other brain areas such as ventricle, cortex, and hippocampus. Clinically, however, hemorrhagic strokes do occur in these other brain regions. In this study, we established mouse hemorrhagic models that utilize stereotactic injections of autologous whole blood or collagenase to produce ventricular, cortical, and hippocampal injury. We validated and characterized these models by histology, immunohistochemistry, and neurobehavioral tests. In the intraventricular hemorrhage (IVH) model, C57BL/6 mice that received unilateral ventricular injections of whole blood demonstrated bilateral ventricular hematomas, ventricular enlargement, and brain edema in the ipsilateral cortex and basal ganglia at 72 h. Unilateral injections of collagenase (150 U/ml) caused reproducible hematomas and brain edema in the frontal cortex in the cortical ICH (c-ICH) model and in the hippocampus in the hippocampal ICH (h-ICH) model. Immunostaining revealed cellular inflammation and neuronal death in the periventricular regions in the IVH brain and in the perihematomal regions in the c-ICH and h-ICH brains. Locomotor abnormalities measured with a 24-point scoring system were present in all three models, especially on days 1, 3, and 7 post-ICH. Locomotor deficits measured by the wire-hanging test were present in models of IVH and c-ICH, but not h-ICH. Interestingly, mice in the c-ICH model demonstrated emotional abnormality, as measured by the tail suspension test and forced swim test, whereas h-ICH mice exhibited memory abnormality, as measured by the novel object recognition test. All three ICH models generated reproducible brain damage, brain edema, inflammation, and consistent locomotor deficits. Additionally, the c-ICH model produced emotional deficits and the h-ICH model produced cognitive deficits. These three models closely mimic human ICH and should be useful for investigating the pathophysiology of ICH in ventricle, cortex, and hippocampus and for evaluating potential therapeutic strategies.","author":[{"dropping-particle":"","family":"Zhu","given":"Wei","non-dropping-particle":"","parse-names":false,"suffix":""},{"dropping-particle":"","family":"Gao","given":"Yufeng","non-dropping-particle":"","parse-names":false,"suffix":""},{"dropping-particle":"","family":"Chang","given":"Che-Feng","non-dropping-particle":"","parse-names":false,"suffix":""},{"dropping-particle":"","family":"Wan","given":"Jie-ru","non-dropping-particle":"","parse-names":false,"suffix":""},{"dropping-particle":"","family":"Zhu","given":"Shan-shan","non-dropping-particle":"","parse-names":false,"suffix":""},{"dropping-particle":"","family":"Wang","given":"Jian","non-dropping-particle":"","parse-names":false,"suffix":""}],"container-title":"PLoS ONE","editor":[{"dropping-particle":"","family":"Ahmad","given":"Muzamil","non-dropping-particle":"","parse-names":false,"suffix":""}],"id":"ITEM-2","issue":"5","issued":{"date-parts":[["2014","5","15"]]},"page":"e97423","title":"Mouse Models of Intracerebral Hemorrhage in Ventricle, Cortex, and Hippocampus by Injections of Autologous Blood or Collagenase","type":"article-journal","volume":"9"},"uris":["http://www.mendeley.com/documents/?uuid=88141afe-2d0f-3e68-9458-3969dfc5f5c5"]}],"mendeley":{"formattedCitation":"[24,25]","plainTextFormattedCitation":"[24,25]","previouslyFormattedCitation":"(24,25)"},"properties":{"noteIndex":0},"schema":"https://github.com/citation-style-language/schema/raw/master/csl-citation.json"}</w:instrText>
      </w:r>
      <w:r w:rsidR="0073523B" w:rsidRPr="00807368">
        <w:rPr>
          <w:rFonts w:asciiTheme="majorBidi" w:hAnsiTheme="majorBidi" w:cstheme="majorBidi"/>
          <w:sz w:val="24"/>
          <w:szCs w:val="24"/>
        </w:rPr>
        <w:fldChar w:fldCharType="separate"/>
      </w:r>
      <w:r w:rsidR="00770076" w:rsidRPr="00770076">
        <w:rPr>
          <w:rFonts w:asciiTheme="majorBidi" w:hAnsiTheme="majorBidi" w:cstheme="majorBidi"/>
          <w:noProof/>
          <w:sz w:val="24"/>
          <w:szCs w:val="24"/>
        </w:rPr>
        <w:t>[24,25]</w:t>
      </w:r>
      <w:r w:rsidR="0073523B" w:rsidRPr="00807368">
        <w:rPr>
          <w:rFonts w:asciiTheme="majorBidi" w:hAnsiTheme="majorBidi" w:cstheme="majorBidi"/>
          <w:sz w:val="24"/>
          <w:szCs w:val="24"/>
        </w:rPr>
        <w:fldChar w:fldCharType="end"/>
      </w:r>
      <w:r w:rsidRPr="00807368">
        <w:rPr>
          <w:rFonts w:asciiTheme="majorBidi" w:hAnsiTheme="majorBidi" w:cstheme="majorBidi"/>
          <w:sz w:val="24"/>
          <w:szCs w:val="24"/>
        </w:rPr>
        <w:t>.</w:t>
      </w:r>
    </w:p>
    <w:p w:rsidR="00B3474D" w:rsidRPr="00807368" w:rsidRDefault="00B3474D" w:rsidP="00925FD4">
      <w:pPr>
        <w:spacing w:line="276" w:lineRule="auto"/>
        <w:jc w:val="both"/>
        <w:rPr>
          <w:rFonts w:asciiTheme="majorBidi" w:hAnsiTheme="majorBidi" w:cstheme="majorBidi"/>
          <w:b/>
          <w:bCs/>
          <w:sz w:val="24"/>
          <w:szCs w:val="24"/>
        </w:rPr>
      </w:pPr>
      <w:r w:rsidRPr="00807368">
        <w:rPr>
          <w:rFonts w:asciiTheme="majorBidi" w:hAnsiTheme="majorBidi" w:cstheme="majorBidi"/>
          <w:b/>
          <w:bCs/>
          <w:sz w:val="24"/>
          <w:szCs w:val="24"/>
        </w:rPr>
        <w:t>Novel object recognition (NOR) task:</w:t>
      </w:r>
    </w:p>
    <w:p w:rsidR="00B3474D" w:rsidRPr="00807368" w:rsidRDefault="00B3474D" w:rsidP="00841CE3">
      <w:pPr>
        <w:spacing w:line="276" w:lineRule="auto"/>
        <w:jc w:val="both"/>
        <w:rPr>
          <w:rFonts w:asciiTheme="majorBidi" w:hAnsiTheme="majorBidi" w:cstheme="majorBidi"/>
          <w:sz w:val="24"/>
          <w:szCs w:val="24"/>
        </w:rPr>
      </w:pPr>
      <w:r w:rsidRPr="00807368">
        <w:rPr>
          <w:rFonts w:asciiTheme="majorBidi" w:hAnsiTheme="majorBidi" w:cstheme="majorBidi"/>
          <w:sz w:val="24"/>
          <w:szCs w:val="24"/>
        </w:rPr>
        <w:t xml:space="preserve">An open ﬁeld apparatus (72 × 72 × 35 cm) with white wall was used to test the behavioral function. </w:t>
      </w:r>
      <w:r w:rsidR="00841CE3" w:rsidRPr="00807368">
        <w:rPr>
          <w:rFonts w:asciiTheme="majorBidi" w:hAnsiTheme="majorBidi" w:cstheme="majorBidi"/>
          <w:sz w:val="24"/>
          <w:szCs w:val="24"/>
        </w:rPr>
        <w:t>Each animal was left in the box for 5 min for the first time to familiarize with the environment without any stimuli after 14 days after induced ICH</w:t>
      </w:r>
      <w:r w:rsidR="00B84642" w:rsidRPr="00807368">
        <w:rPr>
          <w:rFonts w:asciiTheme="majorBidi" w:hAnsiTheme="majorBidi" w:cstheme="majorBidi"/>
          <w:sz w:val="24"/>
          <w:szCs w:val="24"/>
        </w:rPr>
        <w:t>. The following day</w:t>
      </w:r>
      <w:r w:rsidRPr="00807368">
        <w:rPr>
          <w:rFonts w:asciiTheme="majorBidi" w:hAnsiTheme="majorBidi" w:cstheme="majorBidi"/>
          <w:sz w:val="24"/>
          <w:szCs w:val="24"/>
        </w:rPr>
        <w:t>, the rats were trained for 10 min through two identical obje</w:t>
      </w:r>
      <w:r w:rsidR="00B84642" w:rsidRPr="00807368">
        <w:rPr>
          <w:rFonts w:asciiTheme="majorBidi" w:hAnsiTheme="majorBidi" w:cstheme="majorBidi"/>
          <w:sz w:val="24"/>
          <w:szCs w:val="24"/>
        </w:rPr>
        <w:t>cts (A1 and A2). After an hour</w:t>
      </w:r>
      <w:r w:rsidRPr="00807368">
        <w:rPr>
          <w:rFonts w:asciiTheme="majorBidi" w:hAnsiTheme="majorBidi" w:cstheme="majorBidi"/>
          <w:sz w:val="24"/>
          <w:szCs w:val="24"/>
        </w:rPr>
        <w:t xml:space="preserve"> rest, they were allowed to be familiar with one of either object A1 or A2 in the box, or one novel object (B) with different shape and color, for 5 min. The total time of exploring the novel </w:t>
      </w:r>
      <w:r w:rsidR="00A82C71" w:rsidRPr="00807368">
        <w:rPr>
          <w:rFonts w:asciiTheme="majorBidi" w:hAnsiTheme="majorBidi" w:cstheme="majorBidi"/>
          <w:sz w:val="24"/>
          <w:szCs w:val="24"/>
        </w:rPr>
        <w:t xml:space="preserve">and old </w:t>
      </w:r>
      <w:r w:rsidRPr="00807368">
        <w:rPr>
          <w:rFonts w:asciiTheme="majorBidi" w:hAnsiTheme="majorBidi" w:cstheme="majorBidi"/>
          <w:sz w:val="24"/>
          <w:szCs w:val="24"/>
        </w:rPr>
        <w:t>objects was recorded for each animal, including time in direct contact and time within the object area. If the nose of the animal was directed at the object at a distance of less than 2 cm, the rat was regarded as in the object area</w:t>
      </w:r>
      <w:r w:rsidR="00350081" w:rsidRPr="00807368">
        <w:rPr>
          <w:rFonts w:asciiTheme="majorBidi" w:hAnsiTheme="majorBidi" w:cstheme="majorBidi"/>
          <w:sz w:val="24"/>
          <w:szCs w:val="24"/>
        </w:rPr>
        <w:t>. The discrimination ratio was calculated as the time spent with the novel object divided by the total time spent exploring either object</w:t>
      </w:r>
      <w:r w:rsidRPr="00807368">
        <w:rPr>
          <w:rFonts w:asciiTheme="majorBidi" w:hAnsiTheme="majorBidi" w:cstheme="majorBidi"/>
          <w:sz w:val="28"/>
          <w:szCs w:val="28"/>
        </w:rPr>
        <w:t xml:space="preserve"> </w:t>
      </w:r>
      <w:r w:rsidR="0073523B" w:rsidRPr="00807368">
        <w:rPr>
          <w:rFonts w:asciiTheme="majorBidi" w:hAnsiTheme="majorBidi" w:cstheme="majorBidi"/>
          <w:sz w:val="24"/>
          <w:szCs w:val="24"/>
        </w:rPr>
        <w:fldChar w:fldCharType="begin" w:fldLock="1"/>
      </w:r>
      <w:r w:rsidR="00770076">
        <w:rPr>
          <w:rFonts w:asciiTheme="majorBidi" w:hAnsiTheme="majorBidi" w:cstheme="majorBidi"/>
          <w:sz w:val="24"/>
          <w:szCs w:val="24"/>
        </w:rPr>
        <w:instrText>ADDIN CSL_CITATION {"citationItems":[{"id":"ITEM-1","itemData":{"DOI":"10.3389/fnbeh.2017.00185","ISSN":"1662-5153","PMID":"29167635","abstract":"Cerebral ischemia leads to memory impairment, and several studies have indicated that physical exercise (PE) has memory-improving effects after ischemia. This study was designed to further explore the specific role of PE in novel object recognition (NOR) memory after stroke and the exact cortical regions in which memory is restored by PE. Spontaneously hypertensive rats (SHR) were subjected to transient middle cerebral artery occlusion (tMCAO) or sham surgery, followed by 26 days of PE starting on day 3 post-tMCAO. Thereafter, infarct volume, neurobehavioral outcome and NOR memory were assessed. Immunofluorescence staining and Luxol Fast Blue (LFB) staining were performed in the prefrontal cortex, entorhinal cortex and corpus callosum regions. Western blot analysis was performed to detect expressions of Nestin, Bcl-2 and SYN proteins in the entorhinal cortex. After tMCAO, NOR memory impairment was found in SHR. Rats subjected to PE post-tMCAO showed increased discrimination ratio, as well as significant decreases in infarct volumes and modified neurological severity scores (mNSS), when compared with tMCAO rats without PE. After stroke, NeuN-positive cell number was drastically reduced in the entorhinal cortex, rather than in the prefrontal cortex. Ischemic stroke had no impact on myelin and phospholipids, and the ratio of SMI-32/MBP in the corpus callosum. PE increased NeuN, Nestin, Ki67, MBP, SYN, PSD-95 and Bcl-2 expressions in the entorhinal cortex, while TUNEL and SMI-32 expressions were decreased. In conclusion, the NOR memory-improving capacity promoted by PE was closely related to neuronal cell proliferation and synaptic plasticity of the entorhinal cortex.","author":[{"dropping-particle":"","family":"Pan","given":"Xiaona","non-dropping-particle":"","parse-names":false,"suffix":""},{"dropping-particle":"","family":"Jiang","given":"Ting","non-dropping-particle":"","parse-names":false,"suffix":""},{"dropping-particle":"","family":"Zhang","given":"Liying","non-dropping-particle":"","parse-names":false,"suffix":""},{"dropping-particle":"","family":"Zheng","given":"Haiqing","non-dropping-particle":"","parse-names":false,"suffix":""},{"dropping-particle":"","family":"Luo","given":"Jing","non-dropping-particle":"","parse-names":false,"suffix":""},{"dropping-particle":"","family":"Hu","given":"Xiquan","non-dropping-particle":"","parse-names":false,"suffix":""}],"container-title":"Frontiers in Behavioral Neuroscience","id":"ITEM-1","issued":{"date-parts":[["2017","11","8"]]},"page":"185","title":"Physical Exercise Promotes Novel Object Recognition Memory in Spontaneously Hypertensive Rats after Ischemic Stroke by Promoting Neural Plasticity in the Entorhinal Cortex","type":"article-journal","volume":"11"},"uris":["http://www.mendeley.com/documents/?uuid=e213a83f-2414-34c5-84e5-4a0f20b5d3c0"]},{"id":"ITEM-2","itemData":{"DOI":"10.1371/journal.pone.0015497","ISSN":"1932-6203","PMID":"21124738","abstract":"Inducible gene expression plays a central role in neuronal plasticity, learning, and memory, and dysfunction of the underlying molecular events can lead to severe neuronal disorders. In addition to coding transcripts (mRNAs), non-coding microRNAs (miRNAs) appear to play a role in these processes. For instance, the CREB-regulated miRNA miR132 has been shown to affect neuronal structure in an activity-dependent manner, yet the details of its physiological effects and the behavioral consequences in vivo remain unclear. To examine these questions, we employed a transgenic mouse strain that expresses miR132 in forebrain neurons. Morphometric analysis of hippocampal neurons revealed that transgenic miR132 triggers a marked increase in dendritic spine density. Additionally, miR132 transgenic mice exhibited a decrease in the expression of MeCP2, a protein implicated in Rett Syndrome and other disorders of mental retardation. Consistent with these findings, miR132 transgenic mice displayed significant deficits in novel object recognition. Together, these data support a role for miR132 as a regulator of neuronal structure and function, and raise the possibility that dysregulation of miR132 could contribute to an array of cognitive disorders.","author":[{"dropping-particle":"","family":"Hansen","given":"Katelin F.","non-dropping-particle":"","parse-names":false,"suffix":""},{"dropping-particle":"","family":"Sakamoto","given":"Kensuke","non-dropping-particle":"","parse-names":false,"suffix":""},{"dropping-particle":"","family":"Wayman","given":"Gary A.","non-dropping-particle":"","parse-names":false,"suffix":""},{"dropping-particle":"","family":"Impey","given":"Soren","non-dropping-particle":"","parse-names":false,"suffix":""},{"dropping-particle":"","family":"Obrietan","given":"Karl","non-dropping-particle":"","parse-names":false,"suffix":""}],"container-title":"PLoS ONE","editor":[{"dropping-particle":"","family":"Dawson","given":"Ted M.","non-dropping-particle":"","parse-names":false,"suffix":""}],"id":"ITEM-2","issue":"11","issued":{"date-parts":[["2010","11","29"]]},"page":"e15497","title":"Transgenic miR132 Alters Neuronal Spine Density and Impairs Novel Object Recognition Memory","type":"article-journal","volume":"5"},"uris":["http://www.mendeley.com/documents/?uuid=8e390227-545c-3ffb-a3e6-1cc6890b37b5"]}],"mendeley":{"formattedCitation":"[26,27]","plainTextFormattedCitation":"[26,27]","previouslyFormattedCitation":"(26,27)"},"properties":{"noteIndex":0},"schema":"https://github.com/citation-style-language/schema/raw/master/csl-citation.json"}</w:instrText>
      </w:r>
      <w:r w:rsidR="0073523B" w:rsidRPr="00807368">
        <w:rPr>
          <w:rFonts w:asciiTheme="majorBidi" w:hAnsiTheme="majorBidi" w:cstheme="majorBidi"/>
          <w:sz w:val="24"/>
          <w:szCs w:val="24"/>
        </w:rPr>
        <w:fldChar w:fldCharType="separate"/>
      </w:r>
      <w:r w:rsidR="00770076" w:rsidRPr="00770076">
        <w:rPr>
          <w:rFonts w:asciiTheme="majorBidi" w:hAnsiTheme="majorBidi" w:cstheme="majorBidi"/>
          <w:noProof/>
          <w:sz w:val="24"/>
          <w:szCs w:val="24"/>
        </w:rPr>
        <w:t>[26,27]</w:t>
      </w:r>
      <w:r w:rsidR="0073523B" w:rsidRPr="00807368">
        <w:rPr>
          <w:rFonts w:asciiTheme="majorBidi" w:hAnsiTheme="majorBidi" w:cstheme="majorBidi"/>
          <w:sz w:val="24"/>
          <w:szCs w:val="24"/>
        </w:rPr>
        <w:fldChar w:fldCharType="end"/>
      </w:r>
      <w:r w:rsidRPr="00807368">
        <w:rPr>
          <w:rFonts w:asciiTheme="majorBidi" w:hAnsiTheme="majorBidi" w:cstheme="majorBidi"/>
          <w:sz w:val="24"/>
          <w:szCs w:val="24"/>
        </w:rPr>
        <w:t>.</w:t>
      </w:r>
    </w:p>
    <w:p w:rsidR="00CE7217" w:rsidRPr="00807368" w:rsidRDefault="00CE7217" w:rsidP="00925FD4">
      <w:pPr>
        <w:spacing w:line="276" w:lineRule="auto"/>
        <w:jc w:val="both"/>
        <w:rPr>
          <w:rFonts w:asciiTheme="majorBidi" w:hAnsiTheme="majorBidi" w:cstheme="majorBidi"/>
          <w:b/>
          <w:bCs/>
          <w:color w:val="000000" w:themeColor="text1"/>
          <w:sz w:val="24"/>
          <w:szCs w:val="24"/>
        </w:rPr>
      </w:pPr>
      <w:r w:rsidRPr="00807368">
        <w:rPr>
          <w:rFonts w:asciiTheme="majorBidi" w:hAnsiTheme="majorBidi" w:cstheme="majorBidi"/>
          <w:b/>
          <w:bCs/>
          <w:color w:val="000000" w:themeColor="text1"/>
          <w:sz w:val="24"/>
          <w:szCs w:val="24"/>
        </w:rPr>
        <w:t>Passive avoidance test:</w:t>
      </w:r>
    </w:p>
    <w:p w:rsidR="00CE7217" w:rsidRPr="00807368" w:rsidRDefault="00CE7217" w:rsidP="00610439">
      <w:pPr>
        <w:spacing w:line="276" w:lineRule="auto"/>
        <w:jc w:val="both"/>
        <w:rPr>
          <w:rFonts w:asciiTheme="majorBidi" w:hAnsiTheme="majorBidi" w:cstheme="majorBidi"/>
          <w:sz w:val="24"/>
          <w:szCs w:val="24"/>
        </w:rPr>
      </w:pPr>
      <w:r w:rsidRPr="00807368">
        <w:rPr>
          <w:rFonts w:asciiTheme="majorBidi" w:hAnsiTheme="majorBidi" w:cstheme="majorBidi"/>
          <w:sz w:val="24"/>
          <w:szCs w:val="24"/>
        </w:rPr>
        <w:t>The rats underwent passi</w:t>
      </w:r>
      <w:r w:rsidR="00311654" w:rsidRPr="00807368">
        <w:rPr>
          <w:rFonts w:asciiTheme="majorBidi" w:hAnsiTheme="majorBidi" w:cstheme="majorBidi"/>
          <w:sz w:val="24"/>
          <w:szCs w:val="24"/>
        </w:rPr>
        <w:t>ve avoidance training on day 14</w:t>
      </w:r>
      <w:r w:rsidRPr="00807368">
        <w:rPr>
          <w:rFonts w:asciiTheme="majorBidi" w:hAnsiTheme="majorBidi" w:cstheme="majorBidi"/>
          <w:sz w:val="24"/>
          <w:szCs w:val="24"/>
        </w:rPr>
        <w:t xml:space="preserve"> after surgery, using a shuttle box with two connected chambers of equal size separated by a guillotine door. All animals were initially left in the apparatus to be familiar with the environment without any stimuli. The control and experimental groups were guided individually into the lighted chamber facing away from the entrance to the dark side for 10 s. The installed door was opened to note the latency to enter the dark chamber. </w:t>
      </w:r>
      <w:r w:rsidR="005E0381" w:rsidRPr="00807368">
        <w:rPr>
          <w:rFonts w:asciiTheme="majorBidi" w:hAnsiTheme="majorBidi" w:cstheme="majorBidi"/>
          <w:sz w:val="24"/>
          <w:szCs w:val="24"/>
        </w:rPr>
        <w:t>If</w:t>
      </w:r>
      <w:r w:rsidR="00610439" w:rsidRPr="00807368">
        <w:rPr>
          <w:rFonts w:asciiTheme="majorBidi" w:hAnsiTheme="majorBidi" w:cstheme="majorBidi"/>
          <w:sz w:val="24"/>
          <w:szCs w:val="24"/>
        </w:rPr>
        <w:t xml:space="preserve"> any animal didn’t enter the darkness within 60 s, it was replaced with a new rat</w:t>
      </w:r>
      <w:r w:rsidRPr="00807368">
        <w:rPr>
          <w:rFonts w:asciiTheme="majorBidi" w:hAnsiTheme="majorBidi" w:cstheme="majorBidi"/>
          <w:sz w:val="24"/>
          <w:szCs w:val="24"/>
        </w:rPr>
        <w:t>. After 5 min, the habituation step was done repeatedly for the same interval. The third adaption trial was conducted after 2 hours where the animals’ feet were exposed to an electrical stimulation (0.5 mA, 50 Hz, 2 s once) delivered through the stainless-steel floor in the dark chamber for 20 s. Next, the animals were returned to their own cage. This test was repeated after 5 min. In this way, the successful acquisition of passive avoidance response was considered in case the animals avoided entering the darkness up to 300 s. After a day, the rats were re-entered into the illuminated chamber to test the retention trial, without any foot shock. After entering into the darkness, the latency to re-enter the dark chamber and total time spend in dark box were recorded. The time of going into the dark compartment was regarded as the step-through latency (STL) in the two learning and retention trials; as mentioned, the maximum cut</w:t>
      </w:r>
      <w:r w:rsidRPr="00807368">
        <w:rPr>
          <w:rFonts w:asciiTheme="majorBidi" w:hAnsiTheme="majorBidi" w:cstheme="majorBidi"/>
          <w:sz w:val="24"/>
          <w:szCs w:val="24"/>
          <w:rtl/>
        </w:rPr>
        <w:t>-</w:t>
      </w:r>
      <w:r w:rsidRPr="00807368">
        <w:rPr>
          <w:rFonts w:asciiTheme="majorBidi" w:hAnsiTheme="majorBidi" w:cstheme="majorBidi"/>
          <w:sz w:val="24"/>
          <w:szCs w:val="24"/>
        </w:rPr>
        <w:t xml:space="preserve">off time for the STL was 300 s in the retention test </w:t>
      </w:r>
      <w:r w:rsidR="0073523B" w:rsidRPr="00807368">
        <w:rPr>
          <w:rFonts w:asciiTheme="majorBidi" w:hAnsiTheme="majorBidi" w:cstheme="majorBidi"/>
          <w:sz w:val="24"/>
          <w:szCs w:val="24"/>
        </w:rPr>
        <w:fldChar w:fldCharType="begin" w:fldLock="1"/>
      </w:r>
      <w:r w:rsidR="00770076">
        <w:rPr>
          <w:rFonts w:asciiTheme="majorBidi" w:hAnsiTheme="majorBidi" w:cstheme="majorBidi"/>
          <w:sz w:val="24"/>
          <w:szCs w:val="24"/>
        </w:rPr>
        <w:instrText>ADDIN CSL_CITATION {"citationItems":[{"id":"ITEM-1","itemData":{"DOI":"10.1016/j.pbb.2014.12.011","ISSN":"00913057","PMID":"25553822","abstract":"INTRODUCTION Several studies indicate erythropoietin (Epo) to have remarkable neuroprotection in various central nervous system disorders, including Alzheimer's disease (AD). Amyloid beta (Aβ) is believed to be responsible for the synaptic dysfunction that occurs in AD. Therefore, the present study is aimed to investigate the effects of Epo on the Aβ-induced impairments in learning-memory and hippocampal synaptic plasticity. MATERIALS AND METHODS Male Sprague-Dawley rats (200-250 g) were used in this study. After the injection of Aβ, they were injected intra-peritoneal with Epo in the Aβ+Epo group or its vehicle in the Aβ+V group every other day for 12 days. A shuttle box apparatus was used for the passive avoidance learning and memory study. Moreover, paired-pulse ratio (PPR) was monitored before and after tetanic stimulation. RESULTS Bilateral injection of Aβ decreased step-through latency (STL), whereas the 12 day administration of Epo significantly improved memory performance in Aβ+Epo group. The field potential recording demonstrated that the in vivo administration of Aβ25-35 led to extreme inhibition in long-term potentiation, this inhibition was accompanied by a significant increase of the normalized PPR (PPR after HFS/PPR before HFS) as an index for release probability. However, administration of Epo recovers the magnitude of the LTP and the extent of normalized PPR. CONCLUSION The results of this study demonstrated that the injection of Aβ25-35 resulted in impaired LTP and the memory process, which is likely mediated through increasing the release probability of neurotransmitter vesicles. In addition, treatment with Epo improved the Aβ-induced deficits in memory and LTP induction, probably via recovering the release probability.","author":[{"dropping-particle":"","family":"Esmaeili Tazangi","given":"Parisa","non-dropping-particle":"","parse-names":false,"suffix":""},{"dropping-particle":"","family":"Moosavi","given":"Seyed Mostafa Shid","non-dropping-particle":"","parse-names":false,"suffix":""},{"dropping-particle":"","family":"Shabani","given":"Mohamad","non-dropping-particle":"","parse-names":false,"suffix":""},{"dropping-particle":"","family":"Haghani","given":"Masoud","non-dropping-particle":"","parse-names":false,"suffix":""}],"container-title":"Pharmacology Biochemistry and Behavior","id":"ITEM-1","issued":{"date-parts":[["2015","3"]]},"page":"15-21","title":"Erythropoietin improves synaptic plasticity and memory deficits by decrease of the neurotransmitter release probability in the rat model of Alzheimer's disease","type":"article-journal","volume":"130"},"uris":["http://www.mendeley.com/documents/?uuid=9cffb8b1-ab41-342d-9c5c-8246edcf31db"]},{"id":"ITEM-2","itemData":{"DOI":"10.1159/000338494","ISSN":"1421-9778","PMID":"22508047","abstract":"BACKGROUND Amyloid beta (Aβ) is believed to be responsible for the synaptic failure that occurs in Alzheimer's disease (AD), but there is little known about the functional impact of Aβ on intrinsic neuronal properties. Here, the cellular effect of Aβ-induced neurotoxicity on the electrophysiological properties of CA1 pyramidal neurons and the mechanism(s) of neuroprotection by CB1 cannabinoid receptor activation was explored. METHODS A combination of behavioural, molecular and electrophysiological approaches was used. RESULTS Bilateral injections of the Aβ peptide fragment (1-42) into the prefrontal cortex caused a significant impairment in the retention and recall capability in the passive avoidance tasks and significantly increased the level of active caspase-3 in the hippocampus. Whole-cell patch clamp recordings revealed a significant reduction in the intrinsic action potential (AP) frequency and an increase in the discharge irregularity in the absence of synaptic inputs in Aβ treated group. Aβ treatment induced also significant changes in both the spontaneous and evoked neuronal responses. However, co-treatment with ACEA, a CB1 receptor agonist, preserved almost the normal intrinsic electrophysiological properties of pyramidal cells. CONCLUSIONS In vivo Aβ treatment altered significantly the intrinsic electrophysiological properties of CA1 pyramidal neurons and the activation of CB1 cannabinoid receptors exerted a strong neuroprotective action against Aβ toxicity.","author":[{"dropping-particle":"","family":"Haghani","given":"Masoud","non-dropping-particle":"","parse-names":false,"suffix":""},{"dropping-particle":"","family":"Shabani","given":"Mohammad","non-dropping-particle":"","parse-names":false,"suffix":""},{"dropping-particle":"","family":"Javan","given":"Mohammad","non-dropping-particle":"","parse-names":false,"suffix":""},{"dropping-particle":"","family":"Motamedi","given":"Fereshteh","non-dropping-particle":"","parse-names":false,"suffix":""},{"dropping-particle":"","family":"Janahmadi","given":"Mahyar","non-dropping-particle":"","parse-names":false,"suffix":""}],"container-title":"Cellular Physiology and Biochemistry","id":"ITEM-2","issue":"3-4","issued":{"date-parts":[["2012"]]},"page":"391-406","title":"CB1 Cannabinoid Receptor Activation Rescues Amyloid ß-Induced Alterations in Behaviour and Intrinsic Electrophysiological Properties of Rat Hippocampal CA1 Pyramidal Neurones","type":"article-journal","volume":"29"},"uris":["http://www.mendeley.com/documents/?uuid=b966d830-b889-34a0-b62b-26006cf91e32"]}],"mendeley":{"formattedCitation":"[28,29]","plainTextFormattedCitation":"[28,29]","previouslyFormattedCitation":"(28,29)"},"properties":{"noteIndex":0},"schema":"https://github.com/citation-style-language/schema/raw/master/csl-citation.json"}</w:instrText>
      </w:r>
      <w:r w:rsidR="0073523B" w:rsidRPr="00807368">
        <w:rPr>
          <w:rFonts w:asciiTheme="majorBidi" w:hAnsiTheme="majorBidi" w:cstheme="majorBidi"/>
          <w:sz w:val="24"/>
          <w:szCs w:val="24"/>
        </w:rPr>
        <w:fldChar w:fldCharType="separate"/>
      </w:r>
      <w:r w:rsidR="00770076" w:rsidRPr="00770076">
        <w:rPr>
          <w:rFonts w:asciiTheme="majorBidi" w:hAnsiTheme="majorBidi" w:cstheme="majorBidi"/>
          <w:noProof/>
          <w:sz w:val="24"/>
          <w:szCs w:val="24"/>
        </w:rPr>
        <w:t>[28,29]</w:t>
      </w:r>
      <w:r w:rsidR="0073523B" w:rsidRPr="00807368">
        <w:rPr>
          <w:rFonts w:asciiTheme="majorBidi" w:hAnsiTheme="majorBidi" w:cstheme="majorBidi"/>
          <w:sz w:val="24"/>
          <w:szCs w:val="24"/>
        </w:rPr>
        <w:fldChar w:fldCharType="end"/>
      </w:r>
      <w:r w:rsidRPr="00807368">
        <w:rPr>
          <w:rFonts w:asciiTheme="majorBidi" w:hAnsiTheme="majorBidi" w:cstheme="majorBidi"/>
          <w:sz w:val="24"/>
          <w:szCs w:val="24"/>
        </w:rPr>
        <w:t>.</w:t>
      </w:r>
    </w:p>
    <w:p w:rsidR="0017663A" w:rsidRPr="00807368" w:rsidRDefault="0017663A" w:rsidP="00925FD4">
      <w:pPr>
        <w:shd w:val="clear" w:color="auto" w:fill="FFFFFF"/>
        <w:spacing w:after="0" w:line="276" w:lineRule="auto"/>
        <w:jc w:val="both"/>
        <w:textAlignment w:val="baseline"/>
        <w:outlineLvl w:val="2"/>
        <w:rPr>
          <w:rFonts w:asciiTheme="majorBidi" w:hAnsiTheme="majorBidi" w:cstheme="majorBidi"/>
          <w:b/>
          <w:bCs/>
          <w:color w:val="000000" w:themeColor="text1"/>
          <w:sz w:val="24"/>
          <w:szCs w:val="24"/>
        </w:rPr>
      </w:pPr>
      <w:r w:rsidRPr="00807368">
        <w:rPr>
          <w:rFonts w:asciiTheme="majorBidi" w:hAnsiTheme="majorBidi" w:cstheme="majorBidi"/>
          <w:b/>
          <w:bCs/>
          <w:color w:val="000000" w:themeColor="text1"/>
          <w:sz w:val="24"/>
          <w:szCs w:val="24"/>
        </w:rPr>
        <w:t>IGF-II Gene Expression</w:t>
      </w:r>
    </w:p>
    <w:p w:rsidR="0017663A" w:rsidRPr="00807368" w:rsidRDefault="0017663A" w:rsidP="00925FD4">
      <w:pPr>
        <w:shd w:val="clear" w:color="auto" w:fill="FFFFFF"/>
        <w:spacing w:after="0" w:line="276" w:lineRule="auto"/>
        <w:jc w:val="both"/>
        <w:textAlignment w:val="baseline"/>
        <w:outlineLvl w:val="2"/>
        <w:rPr>
          <w:rFonts w:asciiTheme="majorBidi" w:hAnsiTheme="majorBidi" w:cstheme="majorBidi"/>
          <w:b/>
          <w:bCs/>
          <w:color w:val="000000" w:themeColor="text1"/>
          <w:sz w:val="24"/>
          <w:szCs w:val="24"/>
        </w:rPr>
      </w:pPr>
      <w:r w:rsidRPr="00807368">
        <w:rPr>
          <w:rFonts w:asciiTheme="majorBidi" w:hAnsiTheme="majorBidi" w:cstheme="majorBidi"/>
          <w:b/>
          <w:bCs/>
          <w:color w:val="000000" w:themeColor="text1"/>
          <w:sz w:val="24"/>
          <w:szCs w:val="24"/>
        </w:rPr>
        <w:t>Collection of tissue to perform real-time (RT) PCR</w:t>
      </w:r>
    </w:p>
    <w:p w:rsidR="0017663A" w:rsidRPr="00807368" w:rsidRDefault="0017663A" w:rsidP="00925FD4">
      <w:pPr>
        <w:tabs>
          <w:tab w:val="left" w:pos="0"/>
        </w:tabs>
        <w:spacing w:after="0" w:line="276" w:lineRule="auto"/>
        <w:jc w:val="both"/>
        <w:rPr>
          <w:rFonts w:asciiTheme="majorBidi" w:hAnsiTheme="majorBidi" w:cstheme="majorBidi"/>
          <w:color w:val="000000" w:themeColor="text1"/>
          <w:sz w:val="24"/>
          <w:szCs w:val="24"/>
        </w:rPr>
      </w:pPr>
      <w:r w:rsidRPr="00807368">
        <w:rPr>
          <w:rFonts w:asciiTheme="majorBidi" w:hAnsiTheme="majorBidi" w:cstheme="majorBidi"/>
          <w:color w:val="000000" w:themeColor="text1"/>
          <w:sz w:val="24"/>
          <w:szCs w:val="24"/>
          <w:shd w:val="clear" w:color="auto" w:fill="FFFFFF"/>
        </w:rPr>
        <w:t xml:space="preserve">Once the animals were </w:t>
      </w:r>
      <w:r w:rsidRPr="00807368">
        <w:rPr>
          <w:rFonts w:asciiTheme="majorBidi" w:hAnsiTheme="majorBidi" w:cstheme="majorBidi"/>
          <w:sz w:val="24"/>
          <w:szCs w:val="24"/>
          <w:shd w:val="clear" w:color="auto" w:fill="FFFFFF"/>
        </w:rPr>
        <w:t xml:space="preserve">decapitated, the </w:t>
      </w:r>
      <w:r w:rsidRPr="00807368">
        <w:rPr>
          <w:rFonts w:asciiTheme="majorBidi" w:hAnsiTheme="majorBidi" w:cstheme="majorBidi"/>
          <w:color w:val="000000" w:themeColor="text1"/>
          <w:sz w:val="24"/>
          <w:szCs w:val="24"/>
          <w:shd w:val="clear" w:color="auto" w:fill="FFFFFF"/>
        </w:rPr>
        <w:t xml:space="preserve">brains were separated immediately. Their hippocampus were isolated from the left hemisphere immediately and were frozen using </w:t>
      </w:r>
      <w:r w:rsidRPr="00807368">
        <w:rPr>
          <w:rFonts w:asciiTheme="majorBidi" w:hAnsiTheme="majorBidi" w:cstheme="majorBidi"/>
          <w:color w:val="000000" w:themeColor="text1"/>
          <w:sz w:val="24"/>
          <w:szCs w:val="24"/>
        </w:rPr>
        <w:t>liquid nitrogen</w:t>
      </w:r>
      <w:r w:rsidRPr="00807368">
        <w:rPr>
          <w:rFonts w:asciiTheme="majorBidi" w:hAnsiTheme="majorBidi" w:cstheme="majorBidi"/>
          <w:color w:val="000000" w:themeColor="text1"/>
          <w:sz w:val="24"/>
          <w:szCs w:val="24"/>
          <w:shd w:val="clear" w:color="auto" w:fill="FFFFFF"/>
        </w:rPr>
        <w:t xml:space="preserve"> inside microtubes and kept at a temperature of –80°C</w:t>
      </w:r>
      <w:r w:rsidRPr="00807368">
        <w:rPr>
          <w:rFonts w:asciiTheme="majorBidi" w:hAnsiTheme="majorBidi" w:cstheme="majorBidi"/>
          <w:color w:val="000000" w:themeColor="text1"/>
          <w:sz w:val="24"/>
          <w:szCs w:val="24"/>
        </w:rPr>
        <w:t>.</w:t>
      </w:r>
    </w:p>
    <w:p w:rsidR="0017663A" w:rsidRPr="00807368" w:rsidRDefault="0017663A" w:rsidP="00925FD4">
      <w:pPr>
        <w:tabs>
          <w:tab w:val="left" w:pos="0"/>
        </w:tabs>
        <w:spacing w:after="0" w:line="276" w:lineRule="auto"/>
        <w:jc w:val="both"/>
        <w:rPr>
          <w:rFonts w:asciiTheme="majorBidi" w:hAnsiTheme="majorBidi" w:cstheme="majorBidi"/>
          <w:b/>
          <w:bCs/>
          <w:color w:val="000000" w:themeColor="text1"/>
          <w:sz w:val="24"/>
          <w:szCs w:val="24"/>
          <w:shd w:val="clear" w:color="auto" w:fill="FFFFFF"/>
        </w:rPr>
      </w:pPr>
      <w:r w:rsidRPr="00807368">
        <w:rPr>
          <w:rFonts w:asciiTheme="majorBidi" w:hAnsiTheme="majorBidi" w:cstheme="majorBidi"/>
          <w:b/>
          <w:bCs/>
          <w:color w:val="000000" w:themeColor="text1"/>
          <w:sz w:val="24"/>
          <w:szCs w:val="24"/>
          <w:shd w:val="clear" w:color="auto" w:fill="FFFFFF"/>
        </w:rPr>
        <w:t>Extraction of RNA</w:t>
      </w:r>
    </w:p>
    <w:p w:rsidR="0017663A" w:rsidRPr="00807368" w:rsidRDefault="0017663A" w:rsidP="00925FD4">
      <w:pPr>
        <w:tabs>
          <w:tab w:val="left" w:pos="0"/>
        </w:tabs>
        <w:spacing w:after="0" w:line="276" w:lineRule="auto"/>
        <w:jc w:val="both"/>
        <w:rPr>
          <w:rFonts w:asciiTheme="majorBidi" w:hAnsiTheme="majorBidi" w:cstheme="majorBidi"/>
          <w:color w:val="000000" w:themeColor="text1"/>
          <w:sz w:val="24"/>
          <w:szCs w:val="24"/>
        </w:rPr>
      </w:pPr>
      <w:r w:rsidRPr="00807368">
        <w:rPr>
          <w:rFonts w:asciiTheme="majorBidi" w:hAnsiTheme="majorBidi" w:cstheme="majorBidi"/>
          <w:color w:val="000000" w:themeColor="text1"/>
          <w:sz w:val="24"/>
          <w:szCs w:val="24"/>
        </w:rPr>
        <w:lastRenderedPageBreak/>
        <w:t>A homogenizer handle was used to homogenize the samples that were th</w:t>
      </w:r>
      <w:r w:rsidR="00150111" w:rsidRPr="00807368">
        <w:rPr>
          <w:rFonts w:asciiTheme="majorBidi" w:hAnsiTheme="majorBidi" w:cstheme="majorBidi"/>
          <w:color w:val="000000" w:themeColor="text1"/>
          <w:sz w:val="24"/>
          <w:szCs w:val="24"/>
        </w:rPr>
        <w:t>en incubated in ice for 5 min. Afterward</w:t>
      </w:r>
      <w:r w:rsidRPr="00807368">
        <w:rPr>
          <w:rFonts w:asciiTheme="majorBidi" w:hAnsiTheme="majorBidi" w:cstheme="majorBidi"/>
          <w:color w:val="000000" w:themeColor="text1"/>
          <w:sz w:val="24"/>
          <w:szCs w:val="24"/>
        </w:rPr>
        <w:t>, the homogenates were centrifuged for 15 min at 12,000 × g at 4°C. To isolate RNA, 1 mL of TRIzol</w:t>
      </w:r>
      <w:r w:rsidRPr="00807368">
        <w:rPr>
          <w:rFonts w:asciiTheme="majorBidi" w:hAnsiTheme="majorBidi" w:cstheme="majorBidi"/>
          <w:color w:val="000000" w:themeColor="text1"/>
          <w:sz w:val="24"/>
          <w:szCs w:val="24"/>
          <w:vertAlign w:val="superscript"/>
        </w:rPr>
        <w:t>TM</w:t>
      </w:r>
      <w:r w:rsidRPr="00807368">
        <w:rPr>
          <w:rFonts w:asciiTheme="majorBidi" w:hAnsiTheme="majorBidi" w:cstheme="majorBidi"/>
          <w:color w:val="000000" w:themeColor="text1"/>
          <w:sz w:val="24"/>
          <w:szCs w:val="24"/>
        </w:rPr>
        <w:t xml:space="preserve"> reagent (Invitrogen™, made in São Paulo, Brazil) in five parts of 200 µL was appended </w:t>
      </w:r>
      <w:r w:rsidR="00150111" w:rsidRPr="00807368">
        <w:rPr>
          <w:rFonts w:asciiTheme="majorBidi" w:hAnsiTheme="majorBidi" w:cstheme="majorBidi"/>
          <w:color w:val="000000" w:themeColor="text1"/>
          <w:sz w:val="24"/>
          <w:szCs w:val="24"/>
        </w:rPr>
        <w:t>for</w:t>
      </w:r>
      <w:r w:rsidRPr="00807368">
        <w:rPr>
          <w:rFonts w:asciiTheme="majorBidi" w:hAnsiTheme="majorBidi" w:cstheme="majorBidi"/>
          <w:color w:val="000000" w:themeColor="text1"/>
          <w:sz w:val="24"/>
          <w:szCs w:val="24"/>
        </w:rPr>
        <w:t xml:space="preserve"> five times, for a total of 50 to 100 mg of tissue. The mixture was shaken for 15 min each time. To completely dissociate the nucleoprotein complex, the homogenized samples were incubated for 5 min at the RT. Then, 250 µL of chloroform was added for 1 mL of TRIzol reagent.</w:t>
      </w:r>
    </w:p>
    <w:p w:rsidR="0017663A" w:rsidRPr="00807368" w:rsidRDefault="0017663A" w:rsidP="00925FD4">
      <w:pPr>
        <w:tabs>
          <w:tab w:val="left" w:pos="0"/>
        </w:tabs>
        <w:spacing w:after="0" w:line="276" w:lineRule="auto"/>
        <w:jc w:val="both"/>
        <w:rPr>
          <w:rFonts w:asciiTheme="majorBidi" w:hAnsiTheme="majorBidi" w:cstheme="majorBidi"/>
          <w:color w:val="000000" w:themeColor="text1"/>
          <w:sz w:val="24"/>
          <w:szCs w:val="24"/>
          <w:rtl/>
          <w:lang w:bidi="fa-IR"/>
        </w:rPr>
      </w:pPr>
      <w:r w:rsidRPr="00807368">
        <w:rPr>
          <w:rFonts w:asciiTheme="majorBidi" w:hAnsiTheme="majorBidi" w:cstheme="majorBidi"/>
          <w:color w:val="000000" w:themeColor="text1"/>
          <w:sz w:val="24"/>
          <w:szCs w:val="24"/>
        </w:rPr>
        <w:t>The tubes were completely shaken for 15 s then were incubated at the RT for</w:t>
      </w:r>
      <w:r w:rsidR="0002044C" w:rsidRPr="00807368">
        <w:rPr>
          <w:rFonts w:asciiTheme="majorBidi" w:hAnsiTheme="majorBidi" w:cstheme="majorBidi"/>
          <w:color w:val="000000" w:themeColor="text1"/>
          <w:sz w:val="24"/>
          <w:szCs w:val="24"/>
        </w:rPr>
        <w:t xml:space="preserve"> up to</w:t>
      </w:r>
      <w:r w:rsidRPr="00807368">
        <w:rPr>
          <w:rFonts w:asciiTheme="majorBidi" w:hAnsiTheme="majorBidi" w:cstheme="majorBidi"/>
          <w:color w:val="000000" w:themeColor="text1"/>
          <w:sz w:val="24"/>
          <w:szCs w:val="24"/>
        </w:rPr>
        <w:t xml:space="preserve"> 2 to 3 min. The samples were centrifuged for 15 min at 12,000 × g at 4°C, and 0.4 mL of the obtained aqueous phase was poured into another tube.</w:t>
      </w:r>
      <w:r w:rsidRPr="00807368">
        <w:rPr>
          <w:rFonts w:asciiTheme="majorBidi" w:hAnsiTheme="majorBidi" w:cstheme="majorBidi"/>
          <w:color w:val="000000" w:themeColor="text1"/>
          <w:sz w:val="24"/>
          <w:szCs w:val="24"/>
          <w:lang w:bidi="fa-IR"/>
        </w:rPr>
        <w:t xml:space="preserve"> Precipitation was achieved by </w:t>
      </w:r>
      <w:r w:rsidRPr="00807368">
        <w:rPr>
          <w:rFonts w:asciiTheme="majorBidi" w:hAnsiTheme="majorBidi" w:cstheme="majorBidi"/>
          <w:color w:val="000000" w:themeColor="text1"/>
          <w:sz w:val="24"/>
          <w:szCs w:val="24"/>
        </w:rPr>
        <w:t>0.4 mL of cold isopropanol per 1 mL of TRIzol reagent. The samples were incubated over 10 min at RT, then were centrifuged for 10 min at 12,000 × g at 4°C. Afterwards, the samples were incubated overnight at –20°C.</w:t>
      </w:r>
    </w:p>
    <w:p w:rsidR="0017663A" w:rsidRPr="00807368" w:rsidRDefault="0017663A" w:rsidP="00925FD4">
      <w:pPr>
        <w:tabs>
          <w:tab w:val="left" w:pos="0"/>
        </w:tabs>
        <w:spacing w:after="0" w:line="276" w:lineRule="auto"/>
        <w:jc w:val="both"/>
        <w:rPr>
          <w:rFonts w:asciiTheme="majorBidi" w:hAnsiTheme="majorBidi" w:cstheme="majorBidi"/>
          <w:color w:val="000000" w:themeColor="text1"/>
          <w:sz w:val="24"/>
          <w:szCs w:val="24"/>
        </w:rPr>
      </w:pPr>
      <w:r w:rsidRPr="00807368">
        <w:rPr>
          <w:rFonts w:asciiTheme="majorBidi" w:hAnsiTheme="majorBidi" w:cstheme="majorBidi"/>
          <w:color w:val="000000" w:themeColor="text1"/>
          <w:sz w:val="24"/>
          <w:szCs w:val="24"/>
        </w:rPr>
        <w:t>The supernatant was discarded and the pellet was rinsed with 1 mL of DEPC-treated ethanol 75% once in the presence of 1 mL of TRIzol reagent. The pellet containing RNA was air-dried for 5–10 min and subsequently with a hot block for 1–2 min. Next, the pellet was resuspended in the DEPC-treated water. A spectrophotometer (λ260, UV light) was used to measure the quantity of RNA; thus 1 μL of RNA was diluted in 99 μL of DEPC-treated water. The stock concentration was obtained on the basis of 1 OD = 40 μg/mL of RNA and the dilution of 1/100. RNA was kept at–80°C.</w:t>
      </w:r>
    </w:p>
    <w:p w:rsidR="0017663A" w:rsidRPr="00807368" w:rsidRDefault="0017663A" w:rsidP="00925FD4">
      <w:pPr>
        <w:tabs>
          <w:tab w:val="left" w:pos="0"/>
        </w:tabs>
        <w:spacing w:after="0" w:line="276" w:lineRule="auto"/>
        <w:jc w:val="both"/>
        <w:rPr>
          <w:rFonts w:asciiTheme="majorBidi" w:hAnsiTheme="majorBidi" w:cstheme="majorBidi"/>
          <w:b/>
          <w:bCs/>
          <w:color w:val="000000" w:themeColor="text1"/>
          <w:sz w:val="24"/>
          <w:szCs w:val="24"/>
        </w:rPr>
      </w:pPr>
      <w:r w:rsidRPr="00807368">
        <w:rPr>
          <w:rFonts w:asciiTheme="majorBidi" w:hAnsiTheme="majorBidi" w:cstheme="majorBidi"/>
          <w:b/>
          <w:bCs/>
          <w:color w:val="000000" w:themeColor="text1"/>
          <w:sz w:val="24"/>
          <w:szCs w:val="24"/>
        </w:rPr>
        <w:t>The synthesis of cDNA:</w:t>
      </w:r>
    </w:p>
    <w:p w:rsidR="00EA3AAD" w:rsidRPr="00807368" w:rsidRDefault="0017663A" w:rsidP="00925FD4">
      <w:pPr>
        <w:tabs>
          <w:tab w:val="left" w:pos="0"/>
        </w:tabs>
        <w:spacing w:after="0" w:line="276" w:lineRule="auto"/>
        <w:jc w:val="both"/>
        <w:rPr>
          <w:rFonts w:asciiTheme="majorBidi" w:hAnsiTheme="majorBidi" w:cstheme="majorBidi"/>
          <w:b/>
          <w:bCs/>
          <w:color w:val="000000" w:themeColor="text1"/>
          <w:sz w:val="24"/>
          <w:szCs w:val="24"/>
        </w:rPr>
      </w:pPr>
      <w:r w:rsidRPr="00807368">
        <w:rPr>
          <w:rFonts w:asciiTheme="majorBidi" w:hAnsiTheme="majorBidi" w:cstheme="majorBidi"/>
          <w:color w:val="000000" w:themeColor="text1"/>
          <w:sz w:val="24"/>
          <w:szCs w:val="24"/>
        </w:rPr>
        <w:t>All-in-One™ First-Strand cDNA Synthesis Kit (GeneCopoeia, Inc., USA, Cat. No. AORT-0050) was applied to synthesize the cDNA; thus, total RNA (1 μg) was considered as template. The incubation of final volume of 13 μL RNA was performed in the presence of 1 μL of oligo (dT), 1 μL of random primer and ddH2O (RNase/DNase-free) at 65°C for 10 min, followed by instant temperature dropping on ice. Next, the final volume of 25 μL was set using RNase/DNase-free ddH2O, 13 µL of RNA-Primer Mix, 5 µL of RT Reaction Buffer, 1 µL of dNTP, 1 µL of RNase Inhibitor, and 1 µL of M-MLV RTase.</w:t>
      </w:r>
      <w:r w:rsidR="00EA3AAD" w:rsidRPr="00807368">
        <w:rPr>
          <w:rFonts w:asciiTheme="majorBidi" w:hAnsiTheme="majorBidi" w:cstheme="majorBidi"/>
          <w:color w:val="000000" w:themeColor="text1"/>
          <w:sz w:val="24"/>
          <w:szCs w:val="24"/>
        </w:rPr>
        <w:t xml:space="preserve"> The resulting reaction mix was incubated at 37°C for 60 min. Finally, the reaction process was ended by exposing it to 85°C for 5 min and kept at –20°C until testing.</w:t>
      </w:r>
    </w:p>
    <w:p w:rsidR="00EA3AAD" w:rsidRPr="00807368" w:rsidRDefault="00EA3AAD" w:rsidP="00925FD4">
      <w:pPr>
        <w:shd w:val="clear" w:color="auto" w:fill="FFFFFF"/>
        <w:spacing w:after="0" w:line="276" w:lineRule="auto"/>
        <w:jc w:val="both"/>
        <w:rPr>
          <w:rFonts w:asciiTheme="majorBidi" w:hAnsiTheme="majorBidi" w:cstheme="majorBidi"/>
          <w:b/>
          <w:bCs/>
          <w:color w:val="000000" w:themeColor="text1"/>
          <w:sz w:val="24"/>
          <w:szCs w:val="24"/>
        </w:rPr>
      </w:pPr>
      <w:r w:rsidRPr="00807368">
        <w:rPr>
          <w:rFonts w:asciiTheme="majorBidi" w:hAnsiTheme="majorBidi" w:cstheme="majorBidi"/>
          <w:b/>
          <w:bCs/>
          <w:color w:val="000000" w:themeColor="text1"/>
          <w:sz w:val="24"/>
          <w:szCs w:val="24"/>
        </w:rPr>
        <w:t>Real-time PCR</w:t>
      </w:r>
    </w:p>
    <w:p w:rsidR="00EA3AAD" w:rsidRPr="00807368" w:rsidRDefault="00EA3AAD" w:rsidP="00925FD4">
      <w:pPr>
        <w:shd w:val="clear" w:color="auto" w:fill="FFFFFF"/>
        <w:spacing w:after="0" w:line="276" w:lineRule="auto"/>
        <w:jc w:val="both"/>
        <w:rPr>
          <w:rFonts w:asciiTheme="majorBidi" w:hAnsiTheme="majorBidi" w:cstheme="majorBidi"/>
          <w:color w:val="000000" w:themeColor="text1"/>
          <w:sz w:val="24"/>
          <w:szCs w:val="24"/>
        </w:rPr>
      </w:pPr>
      <w:r w:rsidRPr="00807368">
        <w:rPr>
          <w:rFonts w:asciiTheme="majorBidi" w:hAnsiTheme="majorBidi" w:cstheme="majorBidi"/>
          <w:color w:val="000000" w:themeColor="text1"/>
          <w:sz w:val="24"/>
          <w:szCs w:val="24"/>
        </w:rPr>
        <w:t>The StepOnePlus™ thermocycler (Applied Biosystems™, Foster City, CA, USA) was used to process the reactions in 96-well plate containing PCR master mix (Applied Biosystems™, São Paulo, Brazil) of SYBR™ green (12.5 μL), forward and reverse primers (each 0.5 μL), of cDNA (100 ng), and the rest nuclease-free water in a total volume of 25 μL.</w:t>
      </w:r>
    </w:p>
    <w:p w:rsidR="00EA3AAD" w:rsidRPr="00807368" w:rsidRDefault="00EA3AAD" w:rsidP="00925FD4">
      <w:pPr>
        <w:shd w:val="clear" w:color="auto" w:fill="FFFFFF"/>
        <w:spacing w:after="0" w:line="276" w:lineRule="auto"/>
        <w:jc w:val="both"/>
        <w:rPr>
          <w:rFonts w:asciiTheme="majorBidi" w:hAnsiTheme="majorBidi" w:cstheme="majorBidi"/>
          <w:color w:val="000000" w:themeColor="text1"/>
          <w:sz w:val="24"/>
          <w:szCs w:val="24"/>
          <w:shd w:val="clear" w:color="auto" w:fill="FFFFFF"/>
        </w:rPr>
      </w:pPr>
      <w:r w:rsidRPr="00807368">
        <w:rPr>
          <w:rFonts w:asciiTheme="majorBidi" w:hAnsiTheme="majorBidi" w:cstheme="majorBidi"/>
          <w:color w:val="000000"/>
          <w:sz w:val="24"/>
          <w:szCs w:val="24"/>
          <w:shd w:val="clear" w:color="auto" w:fill="FFFFFF"/>
        </w:rPr>
        <w:t xml:space="preserve">PCR primers were designed </w:t>
      </w:r>
      <w:r w:rsidRPr="00807368">
        <w:rPr>
          <w:rFonts w:asciiTheme="majorBidi" w:hAnsiTheme="majorBidi" w:cstheme="majorBidi"/>
          <w:color w:val="000000" w:themeColor="text1"/>
          <w:sz w:val="24"/>
          <w:szCs w:val="24"/>
          <w:shd w:val="clear" w:color="auto" w:fill="FFFFFF"/>
        </w:rPr>
        <w:t xml:space="preserve">with </w:t>
      </w:r>
      <w:r w:rsidRPr="00807368">
        <w:rPr>
          <w:rFonts w:asciiTheme="majorBidi" w:hAnsiTheme="majorBidi" w:cstheme="majorBidi"/>
          <w:color w:val="000000" w:themeColor="text1"/>
          <w:sz w:val="24"/>
          <w:szCs w:val="24"/>
          <w:bdr w:val="none" w:sz="0" w:space="0" w:color="auto" w:frame="1"/>
        </w:rPr>
        <w:t>Gene Runner</w:t>
      </w:r>
      <w:r w:rsidRPr="00807368">
        <w:rPr>
          <w:rFonts w:asciiTheme="majorBidi" w:hAnsiTheme="majorBidi" w:cstheme="majorBidi"/>
          <w:color w:val="000000" w:themeColor="text1"/>
          <w:sz w:val="24"/>
          <w:szCs w:val="24"/>
          <w:shd w:val="clear" w:color="auto" w:fill="FFFFFF"/>
        </w:rPr>
        <w:t xml:space="preserve"> online software and controlled by BLAST search to ensure no cross reactivity. In all reactions, the housekeeping </w:t>
      </w:r>
      <w:r w:rsidRPr="00807368">
        <w:rPr>
          <w:rFonts w:asciiTheme="majorBidi" w:hAnsiTheme="majorBidi" w:cstheme="majorBidi"/>
          <w:color w:val="000000"/>
          <w:sz w:val="24"/>
          <w:szCs w:val="24"/>
          <w:shd w:val="clear" w:color="auto" w:fill="FFFFFF"/>
        </w:rPr>
        <w:t xml:space="preserve">β-actin </w:t>
      </w:r>
      <w:r w:rsidRPr="00807368">
        <w:rPr>
          <w:rFonts w:asciiTheme="majorBidi" w:hAnsiTheme="majorBidi" w:cstheme="majorBidi"/>
          <w:color w:val="000000" w:themeColor="text1"/>
          <w:sz w:val="24"/>
          <w:szCs w:val="24"/>
          <w:shd w:val="clear" w:color="auto" w:fill="FFFFFF"/>
        </w:rPr>
        <w:t xml:space="preserve">gene was run separately with the same experimental conditions to obtain the RNA integrity and quantity in the onset of RT reaction. The rat IGF-II (forward sequence of 5′-TGTCATTGCTTCAGTGCTCTCT-3′ and reverse sequence of 5′-TTCTGTTCCTCTCCTTGGGTTC-3′ with the product size of 163 bp) and rat </w:t>
      </w:r>
      <w:r w:rsidR="004174D7" w:rsidRPr="00807368">
        <w:rPr>
          <w:rFonts w:asciiTheme="majorBidi" w:hAnsiTheme="majorBidi" w:cstheme="majorBidi"/>
          <w:color w:val="000000" w:themeColor="text1"/>
          <w:sz w:val="24"/>
          <w:szCs w:val="24"/>
          <w:shd w:val="clear" w:color="auto" w:fill="FFFFFF"/>
        </w:rPr>
        <w:t>GAPDH</w:t>
      </w:r>
      <w:r w:rsidRPr="00807368">
        <w:rPr>
          <w:rFonts w:asciiTheme="majorBidi" w:hAnsiTheme="majorBidi" w:cstheme="majorBidi"/>
          <w:color w:val="000000" w:themeColor="text1"/>
          <w:sz w:val="24"/>
          <w:szCs w:val="24"/>
          <w:shd w:val="clear" w:color="auto" w:fill="FFFFFF"/>
        </w:rPr>
        <w:t xml:space="preserve"> (forward sequence of 5′-</w:t>
      </w:r>
      <w:r w:rsidR="00A61D4B" w:rsidRPr="00807368">
        <w:rPr>
          <w:rFonts w:asciiTheme="majorBidi" w:hAnsiTheme="majorBidi" w:cstheme="majorBidi"/>
          <w:color w:val="000000" w:themeColor="text1"/>
          <w:sz w:val="24"/>
          <w:szCs w:val="24"/>
          <w:shd w:val="clear" w:color="auto" w:fill="FFFFFF"/>
        </w:rPr>
        <w:t>AAGTTCAACGGCACAGTCAAGG</w:t>
      </w:r>
      <w:r w:rsidRPr="00807368">
        <w:rPr>
          <w:rFonts w:asciiTheme="majorBidi" w:hAnsiTheme="majorBidi" w:cstheme="majorBidi"/>
          <w:color w:val="000000" w:themeColor="text1"/>
          <w:sz w:val="24"/>
          <w:szCs w:val="24"/>
          <w:shd w:val="clear" w:color="auto" w:fill="FFFFFF"/>
        </w:rPr>
        <w:t xml:space="preserve">-3′ and reverse </w:t>
      </w:r>
      <w:r w:rsidRPr="00807368">
        <w:rPr>
          <w:rFonts w:asciiTheme="majorBidi" w:hAnsiTheme="majorBidi" w:cstheme="majorBidi"/>
          <w:color w:val="000000" w:themeColor="text1"/>
          <w:sz w:val="24"/>
          <w:szCs w:val="24"/>
          <w:shd w:val="clear" w:color="auto" w:fill="FFFFFF"/>
        </w:rPr>
        <w:lastRenderedPageBreak/>
        <w:t>sequence of 5′-</w:t>
      </w:r>
      <w:r w:rsidR="00A61D4B" w:rsidRPr="00807368">
        <w:rPr>
          <w:rFonts w:asciiTheme="majorBidi" w:hAnsiTheme="majorBidi" w:cstheme="majorBidi"/>
        </w:rPr>
        <w:t xml:space="preserve"> </w:t>
      </w:r>
      <w:r w:rsidR="00A61D4B" w:rsidRPr="00807368">
        <w:rPr>
          <w:rFonts w:asciiTheme="majorBidi" w:hAnsiTheme="majorBidi" w:cstheme="majorBidi"/>
          <w:color w:val="000000" w:themeColor="text1"/>
          <w:sz w:val="24"/>
          <w:szCs w:val="24"/>
          <w:shd w:val="clear" w:color="auto" w:fill="FFFFFF"/>
        </w:rPr>
        <w:t>CATACTCAGCACCAGCATCACC</w:t>
      </w:r>
      <w:r w:rsidRPr="00807368">
        <w:rPr>
          <w:rFonts w:asciiTheme="majorBidi" w:hAnsiTheme="majorBidi" w:cstheme="majorBidi"/>
          <w:color w:val="000000" w:themeColor="text1"/>
          <w:sz w:val="24"/>
          <w:szCs w:val="24"/>
          <w:shd w:val="clear" w:color="auto" w:fill="FFFFFF"/>
        </w:rPr>
        <w:t xml:space="preserve">-3′ with the product size of </w:t>
      </w:r>
      <w:r w:rsidR="00A61D4B" w:rsidRPr="00807368">
        <w:rPr>
          <w:rFonts w:asciiTheme="majorBidi" w:hAnsiTheme="majorBidi" w:cstheme="majorBidi"/>
          <w:color w:val="000000" w:themeColor="text1"/>
          <w:sz w:val="24"/>
          <w:szCs w:val="24"/>
          <w:shd w:val="clear" w:color="auto" w:fill="FFFFFF"/>
        </w:rPr>
        <w:t>121</w:t>
      </w:r>
      <w:r w:rsidRPr="00807368">
        <w:rPr>
          <w:rFonts w:asciiTheme="majorBidi" w:hAnsiTheme="majorBidi" w:cstheme="majorBidi"/>
          <w:color w:val="000000" w:themeColor="text1"/>
          <w:sz w:val="24"/>
          <w:szCs w:val="24"/>
          <w:shd w:val="clear" w:color="auto" w:fill="FFFFFF"/>
        </w:rPr>
        <w:t xml:space="preserve"> bp) were the </w:t>
      </w:r>
      <w:r w:rsidRPr="00807368">
        <w:rPr>
          <w:rFonts w:asciiTheme="majorBidi" w:hAnsiTheme="majorBidi" w:cstheme="majorBidi"/>
          <w:color w:val="000000" w:themeColor="text1"/>
          <w:sz w:val="24"/>
          <w:szCs w:val="24"/>
        </w:rPr>
        <w:t>primers</w:t>
      </w:r>
      <w:r w:rsidRPr="00807368">
        <w:rPr>
          <w:rFonts w:asciiTheme="majorBidi" w:hAnsiTheme="majorBidi" w:cstheme="majorBidi"/>
          <w:color w:val="000000" w:themeColor="text1"/>
          <w:sz w:val="24"/>
          <w:szCs w:val="24"/>
          <w:shd w:val="clear" w:color="auto" w:fill="FFFFFF"/>
        </w:rPr>
        <w:t xml:space="preserve"> used in the PCR process.</w:t>
      </w:r>
    </w:p>
    <w:p w:rsidR="00EA3AAD" w:rsidRPr="00807368" w:rsidRDefault="00EA3AAD" w:rsidP="00925FD4">
      <w:pPr>
        <w:shd w:val="clear" w:color="auto" w:fill="FFFFFF"/>
        <w:spacing w:after="0" w:line="276" w:lineRule="auto"/>
        <w:jc w:val="both"/>
        <w:rPr>
          <w:rFonts w:asciiTheme="majorBidi" w:hAnsiTheme="majorBidi" w:cstheme="majorBidi"/>
          <w:color w:val="000000" w:themeColor="text1"/>
          <w:sz w:val="24"/>
          <w:szCs w:val="24"/>
        </w:rPr>
      </w:pPr>
      <w:r w:rsidRPr="00807368">
        <w:rPr>
          <w:rFonts w:asciiTheme="majorBidi" w:hAnsiTheme="majorBidi" w:cstheme="majorBidi"/>
          <w:color w:val="000000" w:themeColor="text1"/>
          <w:sz w:val="24"/>
          <w:szCs w:val="24"/>
          <w:shd w:val="clear" w:color="auto" w:fill="FFFFFF"/>
        </w:rPr>
        <w:t xml:space="preserve">The protocol of PCR procedure was </w:t>
      </w:r>
      <w:r w:rsidRPr="00807368">
        <w:rPr>
          <w:rFonts w:asciiTheme="majorBidi" w:hAnsiTheme="majorBidi" w:cstheme="majorBidi"/>
          <w:color w:val="000000" w:themeColor="text1"/>
          <w:sz w:val="24"/>
          <w:szCs w:val="24"/>
        </w:rPr>
        <w:t xml:space="preserve">denaturation at 95°C for 15 min, 50-cycle amplification with denaturation (95°C, 15 s), annealing (60°C, 60 s), and extension (72°C, 60 s). The specificity of PCR products was determined by a melting curve analysis. The algorithm enhancements provided by the equipment estimated the experimental threshold cycle (Ct). All samples were tested twice and the calculated mean values were analyzed. The Ct values were achieved with the aid of instruments in each reaction using default parameters. The reactions were separately continued in the tubes for the same samples to test the levels of IGF-II and </w:t>
      </w:r>
      <w:r w:rsidRPr="00807368">
        <w:rPr>
          <w:rFonts w:asciiTheme="majorBidi" w:hAnsiTheme="majorBidi" w:cstheme="majorBidi"/>
          <w:color w:val="000000"/>
          <w:sz w:val="24"/>
          <w:szCs w:val="24"/>
          <w:shd w:val="clear" w:color="auto" w:fill="FFFFFF"/>
        </w:rPr>
        <w:t>β-actin</w:t>
      </w:r>
      <w:r w:rsidRPr="00807368">
        <w:rPr>
          <w:rFonts w:asciiTheme="majorBidi" w:hAnsiTheme="majorBidi" w:cstheme="majorBidi"/>
          <w:color w:val="000000" w:themeColor="text1"/>
          <w:sz w:val="24"/>
          <w:szCs w:val="24"/>
        </w:rPr>
        <w:t>. The equation of 2</w:t>
      </w:r>
      <w:r w:rsidRPr="00807368">
        <w:rPr>
          <w:rFonts w:asciiTheme="majorBidi" w:hAnsiTheme="majorBidi" w:cstheme="majorBidi"/>
          <w:color w:val="000000" w:themeColor="text1"/>
          <w:sz w:val="24"/>
          <w:szCs w:val="24"/>
          <w:vertAlign w:val="superscript"/>
        </w:rPr>
        <w:t>-ΔΔCt</w:t>
      </w:r>
      <w:r w:rsidRPr="00807368">
        <w:rPr>
          <w:rFonts w:asciiTheme="majorBidi" w:hAnsiTheme="majorBidi" w:cstheme="majorBidi"/>
          <w:color w:val="000000" w:themeColor="text1"/>
          <w:sz w:val="24"/>
          <w:szCs w:val="24"/>
        </w:rPr>
        <w:t xml:space="preserve"> was recruited to calculate the relative quantiﬁcation of the IGF-II mRNA expression levels.</w:t>
      </w:r>
    </w:p>
    <w:p w:rsidR="00EA3AAD" w:rsidRPr="00807368" w:rsidRDefault="00EA3AAD" w:rsidP="00925FD4">
      <w:pPr>
        <w:shd w:val="clear" w:color="auto" w:fill="FFFFFF"/>
        <w:spacing w:after="0" w:line="276" w:lineRule="auto"/>
        <w:outlineLvl w:val="2"/>
        <w:rPr>
          <w:rFonts w:asciiTheme="majorBidi" w:hAnsiTheme="majorBidi" w:cstheme="majorBidi"/>
          <w:b/>
          <w:bCs/>
          <w:color w:val="000000" w:themeColor="text1"/>
          <w:sz w:val="24"/>
          <w:szCs w:val="24"/>
        </w:rPr>
      </w:pPr>
      <w:r w:rsidRPr="00807368">
        <w:rPr>
          <w:rFonts w:asciiTheme="majorBidi" w:hAnsiTheme="majorBidi" w:cstheme="majorBidi"/>
          <w:b/>
          <w:bCs/>
          <w:color w:val="000000" w:themeColor="text1"/>
          <w:sz w:val="24"/>
          <w:szCs w:val="24"/>
        </w:rPr>
        <w:t>Statistical analysis</w:t>
      </w:r>
    </w:p>
    <w:p w:rsidR="00EA3AAD" w:rsidRPr="00807368" w:rsidRDefault="00EA3AAD" w:rsidP="00925FD4">
      <w:pPr>
        <w:shd w:val="clear" w:color="auto" w:fill="FFFFFF"/>
        <w:spacing w:after="0" w:line="276" w:lineRule="auto"/>
        <w:jc w:val="both"/>
        <w:rPr>
          <w:rFonts w:asciiTheme="majorBidi" w:hAnsiTheme="majorBidi" w:cstheme="majorBidi"/>
          <w:color w:val="000000" w:themeColor="text1"/>
          <w:sz w:val="24"/>
          <w:szCs w:val="24"/>
        </w:rPr>
      </w:pPr>
      <w:r w:rsidRPr="00807368">
        <w:rPr>
          <w:rFonts w:asciiTheme="majorBidi" w:hAnsiTheme="majorBidi" w:cstheme="majorBidi"/>
          <w:color w:val="000000" w:themeColor="text1"/>
          <w:sz w:val="24"/>
          <w:szCs w:val="24"/>
          <w:shd w:val="clear" w:color="auto" w:fill="FFFFFF"/>
        </w:rPr>
        <w:t xml:space="preserve">Data </w:t>
      </w:r>
      <w:r w:rsidRPr="00807368">
        <w:rPr>
          <w:rFonts w:asciiTheme="majorBidi" w:hAnsiTheme="majorBidi" w:cstheme="majorBidi"/>
          <w:color w:val="000000" w:themeColor="text1"/>
          <w:sz w:val="24"/>
          <w:szCs w:val="24"/>
        </w:rPr>
        <w:t>for each group</w:t>
      </w:r>
      <w:r w:rsidRPr="00807368">
        <w:rPr>
          <w:rFonts w:asciiTheme="majorBidi" w:hAnsiTheme="majorBidi" w:cstheme="majorBidi"/>
          <w:color w:val="000000" w:themeColor="text1"/>
          <w:sz w:val="24"/>
          <w:szCs w:val="24"/>
          <w:shd w:val="clear" w:color="auto" w:fill="FFFFFF"/>
        </w:rPr>
        <w:t xml:space="preserve"> were analyzed by SPSS software (SPSS Inc) and described using </w:t>
      </w:r>
      <w:r w:rsidRPr="00807368">
        <w:rPr>
          <w:rFonts w:asciiTheme="majorBidi" w:hAnsiTheme="majorBidi" w:cstheme="majorBidi"/>
          <w:color w:val="000000" w:themeColor="text1"/>
          <w:sz w:val="24"/>
          <w:szCs w:val="24"/>
        </w:rPr>
        <w:t xml:space="preserve">graphs, means and standard </w:t>
      </w:r>
      <w:r w:rsidR="00594377" w:rsidRPr="00807368">
        <w:rPr>
          <w:rFonts w:asciiTheme="majorBidi" w:hAnsiTheme="majorBidi" w:cstheme="majorBidi"/>
          <w:color w:val="000000" w:themeColor="text1"/>
          <w:sz w:val="24"/>
          <w:szCs w:val="24"/>
        </w:rPr>
        <w:t>error of mean</w:t>
      </w:r>
      <w:r w:rsidRPr="00807368">
        <w:rPr>
          <w:rFonts w:asciiTheme="majorBidi" w:hAnsiTheme="majorBidi" w:cstheme="majorBidi"/>
          <w:color w:val="000000" w:themeColor="text1"/>
          <w:sz w:val="24"/>
          <w:szCs w:val="24"/>
        </w:rPr>
        <w:t xml:space="preserve">; Kolmogorov-Smirnov test was used to determine normal distribution of data; </w:t>
      </w:r>
      <w:r w:rsidR="00C9092C" w:rsidRPr="00807368">
        <w:rPr>
          <w:rFonts w:asciiTheme="majorBidi" w:hAnsiTheme="majorBidi" w:cstheme="majorBidi"/>
          <w:color w:val="000000" w:themeColor="text1"/>
          <w:sz w:val="24"/>
          <w:szCs w:val="24"/>
        </w:rPr>
        <w:t>one-way ANOVA</w:t>
      </w:r>
      <w:r w:rsidRPr="00807368">
        <w:rPr>
          <w:rFonts w:asciiTheme="majorBidi" w:hAnsiTheme="majorBidi" w:cstheme="majorBidi"/>
          <w:color w:val="000000" w:themeColor="text1"/>
          <w:sz w:val="24"/>
          <w:szCs w:val="24"/>
        </w:rPr>
        <w:t xml:space="preserve"> with the Tukey-Krame</w:t>
      </w:r>
      <w:r w:rsidR="00E06021" w:rsidRPr="00807368">
        <w:rPr>
          <w:rFonts w:asciiTheme="majorBidi" w:hAnsiTheme="majorBidi" w:cstheme="majorBidi"/>
          <w:color w:val="000000" w:themeColor="text1"/>
          <w:sz w:val="24"/>
          <w:szCs w:val="24"/>
        </w:rPr>
        <w:t>r post hoc test was used</w:t>
      </w:r>
      <w:r w:rsidRPr="00807368">
        <w:rPr>
          <w:rFonts w:asciiTheme="majorBidi" w:hAnsiTheme="majorBidi" w:cstheme="majorBidi"/>
          <w:color w:val="000000" w:themeColor="text1"/>
          <w:sz w:val="24"/>
          <w:szCs w:val="24"/>
        </w:rPr>
        <w:t xml:space="preserve"> to fulf</w:t>
      </w:r>
      <w:r w:rsidR="00E06021" w:rsidRPr="00807368">
        <w:rPr>
          <w:rFonts w:asciiTheme="majorBidi" w:hAnsiTheme="majorBidi" w:cstheme="majorBidi"/>
          <w:color w:val="000000" w:themeColor="text1"/>
          <w:sz w:val="24"/>
          <w:szCs w:val="24"/>
        </w:rPr>
        <w:t>ill the inter-group comparison.</w:t>
      </w:r>
      <w:r w:rsidRPr="00807368">
        <w:rPr>
          <w:rFonts w:asciiTheme="majorBidi" w:hAnsiTheme="majorBidi" w:cstheme="majorBidi"/>
          <w:color w:val="000000" w:themeColor="text1"/>
          <w:sz w:val="24"/>
          <w:szCs w:val="24"/>
        </w:rPr>
        <w:t xml:space="preserve"> </w:t>
      </w:r>
      <w:r w:rsidR="00E06021" w:rsidRPr="00807368">
        <w:rPr>
          <w:rFonts w:asciiTheme="majorBidi" w:hAnsiTheme="majorBidi" w:cstheme="majorBidi"/>
          <w:color w:val="000000" w:themeColor="text1"/>
          <w:sz w:val="24"/>
          <w:szCs w:val="24"/>
        </w:rPr>
        <w:t>T</w:t>
      </w:r>
      <w:r w:rsidRPr="00807368">
        <w:rPr>
          <w:rFonts w:asciiTheme="majorBidi" w:hAnsiTheme="majorBidi" w:cstheme="majorBidi"/>
          <w:color w:val="000000" w:themeColor="text1"/>
          <w:sz w:val="24"/>
          <w:szCs w:val="24"/>
        </w:rPr>
        <w:t xml:space="preserve">o </w:t>
      </w:r>
      <w:r w:rsidRPr="00807368">
        <w:rPr>
          <w:rFonts w:asciiTheme="majorBidi" w:hAnsiTheme="majorBidi" w:cstheme="majorBidi"/>
          <w:color w:val="000000" w:themeColor="text1"/>
          <w:sz w:val="24"/>
          <w:szCs w:val="24"/>
          <w:shd w:val="clear" w:color="auto" w:fill="FFFFFF"/>
        </w:rPr>
        <w:t xml:space="preserve">analyze </w:t>
      </w:r>
      <w:r w:rsidRPr="00807368">
        <w:rPr>
          <w:rFonts w:asciiTheme="majorBidi" w:hAnsiTheme="majorBidi" w:cstheme="majorBidi"/>
          <w:color w:val="000000" w:themeColor="text1"/>
          <w:sz w:val="24"/>
          <w:szCs w:val="24"/>
        </w:rPr>
        <w:t>the NDS statistically</w:t>
      </w:r>
      <w:r w:rsidR="00E06021" w:rsidRPr="00807368">
        <w:rPr>
          <w:rFonts w:asciiTheme="majorBidi" w:hAnsiTheme="majorBidi" w:cstheme="majorBidi"/>
          <w:color w:val="000000" w:themeColor="text1"/>
          <w:sz w:val="24"/>
          <w:szCs w:val="24"/>
        </w:rPr>
        <w:t>, nonparametric Mann-Whitney test was applied</w:t>
      </w:r>
      <w:r w:rsidRPr="00807368">
        <w:rPr>
          <w:rFonts w:asciiTheme="majorBidi" w:hAnsiTheme="majorBidi" w:cstheme="majorBidi"/>
          <w:color w:val="000000" w:themeColor="text1"/>
          <w:sz w:val="24"/>
          <w:szCs w:val="24"/>
        </w:rPr>
        <w:t xml:space="preserve">. In all tests, statistically significance level was </w:t>
      </w:r>
      <w:r w:rsidRPr="00807368">
        <w:rPr>
          <w:rFonts w:asciiTheme="majorBidi" w:hAnsiTheme="majorBidi" w:cstheme="majorBidi"/>
          <w:i/>
          <w:iCs/>
          <w:color w:val="000000" w:themeColor="text1"/>
          <w:sz w:val="24"/>
          <w:szCs w:val="24"/>
        </w:rPr>
        <w:t>P</w:t>
      </w:r>
      <w:r w:rsidRPr="00807368">
        <w:rPr>
          <w:rFonts w:asciiTheme="majorBidi" w:hAnsiTheme="majorBidi" w:cstheme="majorBidi"/>
          <w:color w:val="000000" w:themeColor="text1"/>
          <w:sz w:val="24"/>
          <w:szCs w:val="24"/>
        </w:rPr>
        <w:t> values &lt;0.05.</w:t>
      </w:r>
    </w:p>
    <w:p w:rsidR="00CE7217" w:rsidRPr="00807368" w:rsidRDefault="00CE7217" w:rsidP="00925FD4">
      <w:pPr>
        <w:spacing w:line="276" w:lineRule="auto"/>
        <w:jc w:val="both"/>
        <w:rPr>
          <w:rFonts w:asciiTheme="majorBidi" w:hAnsiTheme="majorBidi" w:cstheme="majorBidi"/>
          <w:sz w:val="24"/>
          <w:szCs w:val="24"/>
        </w:rPr>
      </w:pPr>
    </w:p>
    <w:p w:rsidR="00170E8C" w:rsidRPr="00807368" w:rsidRDefault="00170E8C" w:rsidP="00925FD4">
      <w:pPr>
        <w:spacing w:after="0" w:line="276" w:lineRule="auto"/>
        <w:jc w:val="both"/>
        <w:rPr>
          <w:rStyle w:val="fontstyle01"/>
          <w:rFonts w:asciiTheme="majorBidi" w:hAnsiTheme="majorBidi" w:cstheme="majorBidi"/>
          <w:b/>
          <w:bCs/>
          <w:color w:val="000000" w:themeColor="text1"/>
          <w:sz w:val="24"/>
          <w:szCs w:val="24"/>
        </w:rPr>
      </w:pPr>
      <w:r w:rsidRPr="00807368">
        <w:rPr>
          <w:rStyle w:val="fontstyle01"/>
          <w:rFonts w:asciiTheme="majorBidi" w:hAnsiTheme="majorBidi" w:cstheme="majorBidi"/>
          <w:b/>
          <w:bCs/>
          <w:color w:val="000000" w:themeColor="text1"/>
          <w:sz w:val="24"/>
          <w:szCs w:val="24"/>
        </w:rPr>
        <w:t>Results:</w:t>
      </w:r>
    </w:p>
    <w:p w:rsidR="00170E8C" w:rsidRPr="00807368" w:rsidRDefault="00170E8C" w:rsidP="00925FD4">
      <w:pPr>
        <w:spacing w:after="0" w:line="276" w:lineRule="auto"/>
        <w:jc w:val="both"/>
        <w:rPr>
          <w:rFonts w:asciiTheme="majorBidi" w:hAnsiTheme="majorBidi" w:cstheme="majorBidi"/>
          <w:b/>
          <w:bCs/>
          <w:color w:val="000000" w:themeColor="text1"/>
          <w:sz w:val="24"/>
          <w:szCs w:val="24"/>
        </w:rPr>
      </w:pPr>
      <w:r w:rsidRPr="00807368">
        <w:rPr>
          <w:rFonts w:asciiTheme="majorBidi" w:hAnsiTheme="majorBidi" w:cstheme="majorBidi"/>
          <w:b/>
          <w:bCs/>
          <w:color w:val="000000" w:themeColor="text1"/>
          <w:sz w:val="24"/>
          <w:szCs w:val="24"/>
        </w:rPr>
        <w:t>Behavioral assessment test</w:t>
      </w:r>
    </w:p>
    <w:p w:rsidR="00170E8C" w:rsidRPr="00807368" w:rsidRDefault="00170E8C" w:rsidP="00925FD4">
      <w:pPr>
        <w:keepNext/>
        <w:keepLines/>
        <w:shd w:val="clear" w:color="auto" w:fill="FFFFFF"/>
        <w:spacing w:before="240" w:line="276" w:lineRule="auto"/>
        <w:jc w:val="both"/>
        <w:outlineLvl w:val="0"/>
        <w:rPr>
          <w:rFonts w:asciiTheme="majorBidi" w:eastAsia="Times New Roman" w:hAnsiTheme="majorBidi" w:cstheme="majorBidi"/>
          <w:b/>
          <w:bCs/>
          <w:color w:val="000000" w:themeColor="text1"/>
          <w:kern w:val="36"/>
          <w:sz w:val="24"/>
          <w:szCs w:val="24"/>
        </w:rPr>
      </w:pPr>
      <w:r w:rsidRPr="00807368">
        <w:rPr>
          <w:rFonts w:asciiTheme="majorBidi" w:eastAsiaTheme="majorEastAsia" w:hAnsiTheme="majorBidi" w:cstheme="majorBidi"/>
          <w:b/>
          <w:bCs/>
          <w:color w:val="000000" w:themeColor="text1"/>
          <w:sz w:val="24"/>
          <w:szCs w:val="24"/>
        </w:rPr>
        <w:t>IGF-</w:t>
      </w:r>
      <w:r w:rsidR="00EB08E3" w:rsidRPr="00807368">
        <w:rPr>
          <w:rFonts w:asciiTheme="majorBidi" w:eastAsiaTheme="majorEastAsia" w:hAnsiTheme="majorBidi" w:cstheme="majorBidi"/>
          <w:b/>
          <w:bCs/>
          <w:color w:val="000000" w:themeColor="text1"/>
          <w:sz w:val="24"/>
          <w:szCs w:val="24"/>
        </w:rPr>
        <w:t>II</w:t>
      </w:r>
      <w:r w:rsidRPr="00807368">
        <w:rPr>
          <w:rFonts w:asciiTheme="majorBidi" w:eastAsiaTheme="majorEastAsia" w:hAnsiTheme="majorBidi" w:cstheme="majorBidi"/>
          <w:b/>
          <w:bCs/>
          <w:color w:val="000000" w:themeColor="text1"/>
          <w:sz w:val="24"/>
          <w:szCs w:val="24"/>
        </w:rPr>
        <w:t xml:space="preserve"> effects on </w:t>
      </w:r>
      <w:r w:rsidRPr="00807368">
        <w:rPr>
          <w:rFonts w:asciiTheme="majorBidi" w:eastAsia="Times New Roman" w:hAnsiTheme="majorBidi" w:cstheme="majorBidi"/>
          <w:b/>
          <w:bCs/>
          <w:color w:val="000000" w:themeColor="text1"/>
          <w:kern w:val="36"/>
          <w:sz w:val="24"/>
          <w:szCs w:val="24"/>
        </w:rPr>
        <w:t xml:space="preserve">neurological analysis and </w:t>
      </w:r>
      <w:r w:rsidRPr="00807368">
        <w:rPr>
          <w:rFonts w:asciiTheme="majorBidi" w:eastAsiaTheme="majorEastAsia" w:hAnsiTheme="majorBidi" w:cstheme="majorBidi"/>
          <w:b/>
          <w:bCs/>
          <w:color w:val="000000" w:themeColor="text1"/>
          <w:sz w:val="24"/>
          <w:szCs w:val="24"/>
        </w:rPr>
        <w:t>locomotor function</w:t>
      </w:r>
    </w:p>
    <w:p w:rsidR="00170E8C" w:rsidRPr="00807368" w:rsidRDefault="000B3E4B" w:rsidP="00925FD4">
      <w:pPr>
        <w:spacing w:line="276" w:lineRule="auto"/>
        <w:jc w:val="both"/>
        <w:rPr>
          <w:rFonts w:asciiTheme="majorBidi" w:hAnsiTheme="majorBidi" w:cstheme="majorBidi"/>
          <w:color w:val="000000" w:themeColor="text1"/>
          <w:sz w:val="24"/>
          <w:szCs w:val="24"/>
        </w:rPr>
      </w:pPr>
      <w:r w:rsidRPr="00807368">
        <w:rPr>
          <w:rFonts w:asciiTheme="majorBidi" w:hAnsiTheme="majorBidi" w:cstheme="majorBidi"/>
          <w:color w:val="000000" w:themeColor="text1"/>
          <w:sz w:val="24"/>
          <w:szCs w:val="24"/>
        </w:rPr>
        <w:t>We measured the neurological deficits using a</w:t>
      </w:r>
      <w:r w:rsidR="00170E8C" w:rsidRPr="00807368">
        <w:rPr>
          <w:rFonts w:asciiTheme="majorBidi" w:hAnsiTheme="majorBidi" w:cstheme="majorBidi"/>
          <w:color w:val="000000" w:themeColor="text1"/>
          <w:sz w:val="24"/>
          <w:szCs w:val="24"/>
        </w:rPr>
        <w:t xml:space="preserve">n 18-point scoring system </w:t>
      </w:r>
      <w:r w:rsidRPr="00807368">
        <w:rPr>
          <w:rFonts w:asciiTheme="majorBidi" w:hAnsiTheme="majorBidi" w:cstheme="majorBidi"/>
          <w:color w:val="000000" w:themeColor="text1"/>
          <w:sz w:val="24"/>
          <w:szCs w:val="24"/>
        </w:rPr>
        <w:t>in which lower scores mean</w:t>
      </w:r>
      <w:r w:rsidR="00170E8C" w:rsidRPr="00807368">
        <w:rPr>
          <w:rFonts w:asciiTheme="majorBidi" w:hAnsiTheme="majorBidi" w:cstheme="majorBidi"/>
          <w:color w:val="000000" w:themeColor="text1"/>
          <w:sz w:val="24"/>
          <w:szCs w:val="24"/>
        </w:rPr>
        <w:t xml:space="preserve"> greater deficit. The motor deficit was significantly higher in the sham rats than in the </w:t>
      </w:r>
      <w:r w:rsidR="00686EEF" w:rsidRPr="00807368">
        <w:rPr>
          <w:rFonts w:asciiTheme="majorBidi" w:hAnsiTheme="majorBidi" w:cstheme="majorBidi"/>
          <w:color w:val="000000" w:themeColor="text1"/>
          <w:sz w:val="24"/>
          <w:szCs w:val="24"/>
        </w:rPr>
        <w:t>ICH</w:t>
      </w:r>
      <w:r w:rsidR="00170E8C" w:rsidRPr="00807368">
        <w:rPr>
          <w:rFonts w:asciiTheme="majorBidi" w:hAnsiTheme="majorBidi" w:cstheme="majorBidi"/>
          <w:color w:val="000000" w:themeColor="text1"/>
          <w:sz w:val="24"/>
          <w:szCs w:val="24"/>
        </w:rPr>
        <w:t xml:space="preserve"> group (</w:t>
      </w:r>
      <w:r w:rsidR="00170E8C" w:rsidRPr="00807368">
        <w:rPr>
          <w:rFonts w:asciiTheme="majorBidi" w:eastAsia="Times New Roman" w:hAnsiTheme="majorBidi" w:cstheme="majorBidi"/>
          <w:color w:val="000000"/>
          <w:sz w:val="24"/>
          <w:szCs w:val="24"/>
        </w:rPr>
        <w:t>15</w:t>
      </w:r>
      <w:r w:rsidR="008864BA" w:rsidRPr="00807368">
        <w:rPr>
          <w:rFonts w:asciiTheme="majorBidi" w:eastAsia="Times New Roman" w:hAnsiTheme="majorBidi" w:cstheme="majorBidi"/>
          <w:color w:val="000000"/>
          <w:sz w:val="24"/>
          <w:szCs w:val="24"/>
        </w:rPr>
        <w:t>.17</w:t>
      </w:r>
      <w:r w:rsidR="00170E8C" w:rsidRPr="00807368">
        <w:rPr>
          <w:rFonts w:asciiTheme="majorBidi" w:eastAsia="Times New Roman" w:hAnsiTheme="majorBidi" w:cstheme="majorBidi"/>
          <w:color w:val="000000"/>
          <w:sz w:val="24"/>
          <w:szCs w:val="24"/>
        </w:rPr>
        <w:t xml:space="preserve"> </w:t>
      </w:r>
      <w:r w:rsidR="00170E8C" w:rsidRPr="00807368">
        <w:rPr>
          <w:rFonts w:asciiTheme="majorBidi" w:hAnsiTheme="majorBidi" w:cstheme="majorBidi"/>
          <w:color w:val="000000" w:themeColor="text1"/>
          <w:sz w:val="24"/>
          <w:szCs w:val="24"/>
        </w:rPr>
        <w:t xml:space="preserve">± </w:t>
      </w:r>
      <w:r w:rsidR="008864BA" w:rsidRPr="00807368">
        <w:rPr>
          <w:rFonts w:asciiTheme="majorBidi" w:eastAsia="Times New Roman" w:hAnsiTheme="majorBidi" w:cstheme="majorBidi"/>
          <w:sz w:val="24"/>
          <w:szCs w:val="24"/>
        </w:rPr>
        <w:t>0.26</w:t>
      </w:r>
      <w:r w:rsidR="00170E8C" w:rsidRPr="00807368">
        <w:rPr>
          <w:rFonts w:asciiTheme="majorBidi" w:hAnsiTheme="majorBidi" w:cstheme="majorBidi"/>
          <w:color w:val="000000" w:themeColor="text1"/>
          <w:sz w:val="24"/>
          <w:szCs w:val="24"/>
        </w:rPr>
        <w:t xml:space="preserve">, </w:t>
      </w:r>
      <w:r w:rsidR="00170E8C" w:rsidRPr="00807368">
        <w:rPr>
          <w:rFonts w:asciiTheme="majorBidi" w:eastAsia="Times New Roman" w:hAnsiTheme="majorBidi" w:cstheme="majorBidi"/>
          <w:sz w:val="24"/>
          <w:szCs w:val="24"/>
        </w:rPr>
        <w:t>16.8</w:t>
      </w:r>
      <w:r w:rsidR="008864BA" w:rsidRPr="00807368">
        <w:rPr>
          <w:rFonts w:asciiTheme="majorBidi" w:eastAsia="Times New Roman" w:hAnsiTheme="majorBidi" w:cstheme="majorBidi"/>
          <w:sz w:val="24"/>
          <w:szCs w:val="24"/>
        </w:rPr>
        <w:t>3</w:t>
      </w:r>
      <w:r w:rsidR="00170E8C" w:rsidRPr="00807368">
        <w:rPr>
          <w:rFonts w:asciiTheme="majorBidi" w:eastAsia="Times New Roman" w:hAnsiTheme="majorBidi" w:cstheme="majorBidi"/>
          <w:sz w:val="24"/>
          <w:szCs w:val="24"/>
        </w:rPr>
        <w:t xml:space="preserve"> </w:t>
      </w:r>
      <w:r w:rsidR="00170E8C" w:rsidRPr="00807368">
        <w:rPr>
          <w:rFonts w:asciiTheme="majorBidi" w:hAnsiTheme="majorBidi" w:cstheme="majorBidi"/>
          <w:color w:val="000000" w:themeColor="text1"/>
          <w:sz w:val="24"/>
          <w:szCs w:val="24"/>
        </w:rPr>
        <w:t xml:space="preserve">± </w:t>
      </w:r>
      <w:r w:rsidR="00170E8C" w:rsidRPr="00807368">
        <w:rPr>
          <w:rFonts w:asciiTheme="majorBidi" w:eastAsia="Times New Roman" w:hAnsiTheme="majorBidi" w:cstheme="majorBidi"/>
          <w:sz w:val="24"/>
          <w:szCs w:val="24"/>
        </w:rPr>
        <w:t>0.</w:t>
      </w:r>
      <w:r w:rsidR="008864BA" w:rsidRPr="00807368">
        <w:rPr>
          <w:rFonts w:asciiTheme="majorBidi" w:eastAsia="Times New Roman" w:hAnsiTheme="majorBidi" w:cstheme="majorBidi"/>
          <w:sz w:val="24"/>
          <w:szCs w:val="24"/>
        </w:rPr>
        <w:t>40</w:t>
      </w:r>
      <w:r w:rsidR="00170E8C" w:rsidRPr="00807368">
        <w:rPr>
          <w:rFonts w:asciiTheme="majorBidi" w:hAnsiTheme="majorBidi" w:cstheme="majorBidi"/>
          <w:color w:val="000000" w:themeColor="text1"/>
          <w:sz w:val="24"/>
          <w:szCs w:val="24"/>
        </w:rPr>
        <w:t>) in days 1 and 3, and significantly lower in the IGF</w:t>
      </w:r>
      <w:r w:rsidR="0057456C" w:rsidRPr="00807368">
        <w:rPr>
          <w:rFonts w:asciiTheme="majorBidi" w:hAnsiTheme="majorBidi" w:cstheme="majorBidi"/>
          <w:color w:val="000000" w:themeColor="text1"/>
          <w:sz w:val="24"/>
          <w:szCs w:val="24"/>
        </w:rPr>
        <w:t>-II</w:t>
      </w:r>
      <w:r w:rsidR="00170E8C" w:rsidRPr="00807368">
        <w:rPr>
          <w:rFonts w:asciiTheme="majorBidi" w:hAnsiTheme="majorBidi" w:cstheme="majorBidi"/>
          <w:color w:val="000000" w:themeColor="text1"/>
          <w:sz w:val="24"/>
          <w:szCs w:val="24"/>
        </w:rPr>
        <w:t xml:space="preserve"> </w:t>
      </w:r>
      <w:r w:rsidR="00686EEF" w:rsidRPr="00807368">
        <w:rPr>
          <w:rFonts w:asciiTheme="majorBidi" w:hAnsiTheme="majorBidi" w:cstheme="majorBidi"/>
          <w:color w:val="000000" w:themeColor="text1"/>
          <w:sz w:val="24"/>
          <w:szCs w:val="24"/>
        </w:rPr>
        <w:t xml:space="preserve">treatment </w:t>
      </w:r>
      <w:r w:rsidR="00170E8C" w:rsidRPr="00807368">
        <w:rPr>
          <w:rFonts w:asciiTheme="majorBidi" w:hAnsiTheme="majorBidi" w:cstheme="majorBidi"/>
          <w:color w:val="000000" w:themeColor="text1"/>
          <w:sz w:val="24"/>
          <w:szCs w:val="24"/>
        </w:rPr>
        <w:t>group (</w:t>
      </w:r>
      <w:r w:rsidR="00170E8C" w:rsidRPr="00807368">
        <w:rPr>
          <w:rFonts w:asciiTheme="majorBidi" w:eastAsia="Times New Roman" w:hAnsiTheme="majorBidi" w:cstheme="majorBidi"/>
          <w:sz w:val="24"/>
          <w:szCs w:val="24"/>
        </w:rPr>
        <w:t>15.</w:t>
      </w:r>
      <w:r w:rsidR="008864BA" w:rsidRPr="00807368">
        <w:rPr>
          <w:rFonts w:asciiTheme="majorBidi" w:eastAsia="Times New Roman" w:hAnsiTheme="majorBidi" w:cstheme="majorBidi"/>
          <w:sz w:val="24"/>
          <w:szCs w:val="24"/>
        </w:rPr>
        <w:t>64</w:t>
      </w:r>
      <w:r w:rsidR="00170E8C" w:rsidRPr="00807368">
        <w:rPr>
          <w:rFonts w:asciiTheme="majorBidi" w:eastAsia="Times New Roman" w:hAnsiTheme="majorBidi" w:cstheme="majorBidi"/>
          <w:sz w:val="24"/>
          <w:szCs w:val="24"/>
        </w:rPr>
        <w:t xml:space="preserve"> </w:t>
      </w:r>
      <w:r w:rsidR="00170E8C" w:rsidRPr="00807368">
        <w:rPr>
          <w:rFonts w:asciiTheme="majorBidi" w:hAnsiTheme="majorBidi" w:cstheme="majorBidi"/>
          <w:color w:val="000000" w:themeColor="text1"/>
          <w:sz w:val="24"/>
          <w:szCs w:val="24"/>
        </w:rPr>
        <w:t xml:space="preserve">± </w:t>
      </w:r>
      <w:r w:rsidR="008864BA" w:rsidRPr="00807368">
        <w:rPr>
          <w:rFonts w:asciiTheme="majorBidi" w:eastAsia="Times New Roman" w:hAnsiTheme="majorBidi" w:cstheme="majorBidi"/>
          <w:sz w:val="24"/>
          <w:szCs w:val="24"/>
        </w:rPr>
        <w:t>0.31</w:t>
      </w:r>
      <w:r w:rsidR="00170E8C" w:rsidRPr="00807368">
        <w:rPr>
          <w:rFonts w:asciiTheme="majorBidi" w:hAnsiTheme="majorBidi" w:cstheme="majorBidi"/>
          <w:color w:val="000000" w:themeColor="text1"/>
          <w:sz w:val="24"/>
          <w:szCs w:val="24"/>
        </w:rPr>
        <w:t xml:space="preserve">) than in the sham group </w:t>
      </w:r>
      <w:r w:rsidR="006D557A" w:rsidRPr="00807368">
        <w:rPr>
          <w:rFonts w:asciiTheme="majorBidi" w:hAnsiTheme="majorBidi" w:cstheme="majorBidi"/>
          <w:color w:val="000000" w:themeColor="text1"/>
          <w:sz w:val="24"/>
          <w:szCs w:val="24"/>
        </w:rPr>
        <w:t xml:space="preserve">just </w:t>
      </w:r>
      <w:r w:rsidR="00170E8C" w:rsidRPr="00807368">
        <w:rPr>
          <w:rFonts w:asciiTheme="majorBidi" w:hAnsiTheme="majorBidi" w:cstheme="majorBidi"/>
          <w:color w:val="000000" w:themeColor="text1"/>
          <w:sz w:val="24"/>
          <w:szCs w:val="24"/>
        </w:rPr>
        <w:t>in day 1 (Fig. 1A). The wire-hanging test indicating the gripping and forelimb strength measured the locomotor deficits. Based on the findings, no significant differences in gripping and forelimb strength were found among all groups (Fig. 1B).</w:t>
      </w:r>
    </w:p>
    <w:p w:rsidR="00494740" w:rsidRPr="00807368" w:rsidRDefault="00494740" w:rsidP="00925FD4">
      <w:pPr>
        <w:spacing w:after="0" w:line="276" w:lineRule="auto"/>
        <w:jc w:val="both"/>
        <w:rPr>
          <w:rFonts w:asciiTheme="majorBidi" w:hAnsiTheme="majorBidi" w:cstheme="majorBidi"/>
          <w:b/>
          <w:bCs/>
          <w:color w:val="000000" w:themeColor="text1"/>
          <w:sz w:val="24"/>
          <w:szCs w:val="24"/>
        </w:rPr>
      </w:pPr>
      <w:r w:rsidRPr="00807368">
        <w:rPr>
          <w:rFonts w:asciiTheme="majorBidi" w:hAnsiTheme="majorBidi" w:cstheme="majorBidi"/>
          <w:b/>
          <w:bCs/>
          <w:color w:val="000000" w:themeColor="text1"/>
          <w:sz w:val="24"/>
          <w:szCs w:val="24"/>
        </w:rPr>
        <w:t>IGF-</w:t>
      </w:r>
      <w:r w:rsidR="001245A7" w:rsidRPr="00807368">
        <w:rPr>
          <w:rFonts w:asciiTheme="majorBidi" w:hAnsiTheme="majorBidi" w:cstheme="majorBidi"/>
          <w:b/>
          <w:bCs/>
          <w:color w:val="000000" w:themeColor="text1"/>
          <w:sz w:val="24"/>
          <w:szCs w:val="24"/>
        </w:rPr>
        <w:t>II</w:t>
      </w:r>
      <w:r w:rsidRPr="00807368">
        <w:rPr>
          <w:rFonts w:asciiTheme="majorBidi" w:hAnsiTheme="majorBidi" w:cstheme="majorBidi"/>
          <w:b/>
          <w:bCs/>
          <w:color w:val="000000" w:themeColor="text1"/>
          <w:sz w:val="24"/>
          <w:szCs w:val="24"/>
        </w:rPr>
        <w:t xml:space="preserve"> effects on passive avoidance learning</w:t>
      </w:r>
    </w:p>
    <w:p w:rsidR="00494740" w:rsidRPr="00807368" w:rsidRDefault="00494740" w:rsidP="00925FD4">
      <w:pPr>
        <w:spacing w:line="276" w:lineRule="auto"/>
        <w:jc w:val="both"/>
        <w:rPr>
          <w:rFonts w:asciiTheme="majorBidi" w:hAnsiTheme="majorBidi" w:cstheme="majorBidi"/>
          <w:color w:val="000000" w:themeColor="text1"/>
          <w:sz w:val="24"/>
          <w:szCs w:val="24"/>
        </w:rPr>
      </w:pPr>
      <w:r w:rsidRPr="00807368">
        <w:rPr>
          <w:rFonts w:asciiTheme="majorBidi" w:hAnsiTheme="majorBidi" w:cstheme="majorBidi"/>
          <w:color w:val="000000" w:themeColor="text1"/>
          <w:sz w:val="24"/>
          <w:szCs w:val="24"/>
        </w:rPr>
        <w:t>Based on the passive avoidance test results, one or two foot shocks made the rats in all groups to</w:t>
      </w:r>
      <w:r w:rsidR="00980903" w:rsidRPr="00807368">
        <w:rPr>
          <w:rFonts w:asciiTheme="majorBidi" w:hAnsiTheme="majorBidi" w:cstheme="majorBidi"/>
          <w:color w:val="000000" w:themeColor="text1"/>
          <w:sz w:val="24"/>
          <w:szCs w:val="24"/>
        </w:rPr>
        <w:t xml:space="preserve"> learn the avoidance task. N</w:t>
      </w:r>
      <w:r w:rsidRPr="00807368">
        <w:rPr>
          <w:rFonts w:asciiTheme="majorBidi" w:hAnsiTheme="majorBidi" w:cstheme="majorBidi"/>
          <w:color w:val="000000" w:themeColor="text1"/>
          <w:sz w:val="24"/>
          <w:szCs w:val="24"/>
        </w:rPr>
        <w:t>o statistical difference was seen in the training trials (data not shown). IGF-</w:t>
      </w:r>
      <w:r w:rsidR="001245A7" w:rsidRPr="00807368">
        <w:rPr>
          <w:rFonts w:asciiTheme="majorBidi" w:hAnsiTheme="majorBidi" w:cstheme="majorBidi"/>
          <w:color w:val="000000" w:themeColor="text1"/>
          <w:sz w:val="24"/>
          <w:szCs w:val="24"/>
        </w:rPr>
        <w:t>II</w:t>
      </w:r>
      <w:r w:rsidRPr="00807368">
        <w:rPr>
          <w:rFonts w:asciiTheme="majorBidi" w:hAnsiTheme="majorBidi" w:cstheme="majorBidi"/>
          <w:color w:val="000000" w:themeColor="text1"/>
          <w:sz w:val="24"/>
          <w:szCs w:val="24"/>
        </w:rPr>
        <w:t xml:space="preserve"> treatment significantly prolonged the STL time and improved memory retention (</w:t>
      </w:r>
      <w:r w:rsidRPr="00807368">
        <w:rPr>
          <w:rFonts w:asciiTheme="majorBidi" w:eastAsia="Times New Roman" w:hAnsiTheme="majorBidi" w:cstheme="majorBidi"/>
          <w:sz w:val="24"/>
          <w:szCs w:val="24"/>
        </w:rPr>
        <w:t>211.43</w:t>
      </w:r>
      <w:r w:rsidRPr="00807368">
        <w:rPr>
          <w:rFonts w:asciiTheme="majorBidi" w:hAnsiTheme="majorBidi" w:cstheme="majorBidi"/>
          <w:color w:val="000000" w:themeColor="text1"/>
          <w:sz w:val="24"/>
          <w:szCs w:val="24"/>
        </w:rPr>
        <w:t xml:space="preserve"> ± </w:t>
      </w:r>
      <w:r w:rsidR="006D6B65" w:rsidRPr="00807368">
        <w:rPr>
          <w:rFonts w:asciiTheme="majorBidi" w:eastAsia="Times New Roman" w:hAnsiTheme="majorBidi" w:cstheme="majorBidi"/>
          <w:sz w:val="24"/>
          <w:szCs w:val="24"/>
        </w:rPr>
        <w:t>29.31</w:t>
      </w:r>
      <w:r w:rsidRPr="00807368">
        <w:rPr>
          <w:rFonts w:asciiTheme="majorBidi" w:hAnsiTheme="majorBidi" w:cstheme="majorBidi"/>
          <w:color w:val="000000" w:themeColor="text1"/>
          <w:sz w:val="24"/>
          <w:szCs w:val="24"/>
        </w:rPr>
        <w:t>) compared with the control (</w:t>
      </w:r>
      <w:r w:rsidRPr="00807368">
        <w:rPr>
          <w:rFonts w:asciiTheme="majorBidi" w:eastAsia="Times New Roman" w:hAnsiTheme="majorBidi" w:cstheme="majorBidi"/>
          <w:sz w:val="24"/>
          <w:szCs w:val="24"/>
        </w:rPr>
        <w:t>85.75</w:t>
      </w:r>
      <w:r w:rsidRPr="00807368">
        <w:rPr>
          <w:rFonts w:asciiTheme="majorBidi" w:hAnsiTheme="majorBidi" w:cstheme="majorBidi"/>
          <w:color w:val="000000" w:themeColor="text1"/>
          <w:sz w:val="24"/>
          <w:szCs w:val="24"/>
        </w:rPr>
        <w:t xml:space="preserve"> ± </w:t>
      </w:r>
      <w:r w:rsidR="006D6B65" w:rsidRPr="00807368">
        <w:rPr>
          <w:rFonts w:asciiTheme="majorBidi" w:eastAsia="Times New Roman" w:hAnsiTheme="majorBidi" w:cstheme="majorBidi"/>
          <w:sz w:val="24"/>
          <w:szCs w:val="24"/>
        </w:rPr>
        <w:t>14.01</w:t>
      </w:r>
      <w:r w:rsidRPr="00807368">
        <w:rPr>
          <w:rFonts w:asciiTheme="majorBidi" w:hAnsiTheme="majorBidi" w:cstheme="majorBidi"/>
          <w:color w:val="000000" w:themeColor="text1"/>
          <w:sz w:val="24"/>
          <w:szCs w:val="24"/>
        </w:rPr>
        <w:t>). Further, time in dark compartment (TDC) was significantly higher in ICH group (</w:t>
      </w:r>
      <w:r w:rsidRPr="00807368">
        <w:rPr>
          <w:rFonts w:asciiTheme="majorBidi" w:eastAsia="Times New Roman" w:hAnsiTheme="majorBidi" w:cstheme="majorBidi"/>
          <w:color w:val="000000"/>
          <w:sz w:val="24"/>
          <w:szCs w:val="24"/>
        </w:rPr>
        <w:t xml:space="preserve">104.63 </w:t>
      </w:r>
      <w:r w:rsidRPr="00807368">
        <w:rPr>
          <w:rFonts w:asciiTheme="majorBidi" w:hAnsiTheme="majorBidi" w:cstheme="majorBidi"/>
          <w:color w:val="000000" w:themeColor="text1"/>
          <w:sz w:val="24"/>
          <w:szCs w:val="24"/>
        </w:rPr>
        <w:t xml:space="preserve">± </w:t>
      </w:r>
      <w:r w:rsidR="006D6B65" w:rsidRPr="00807368">
        <w:rPr>
          <w:rFonts w:asciiTheme="majorBidi" w:eastAsia="Times New Roman" w:hAnsiTheme="majorBidi" w:cstheme="majorBidi"/>
          <w:sz w:val="24"/>
          <w:szCs w:val="24"/>
        </w:rPr>
        <w:t>24.47</w:t>
      </w:r>
      <w:r w:rsidRPr="00807368">
        <w:rPr>
          <w:rFonts w:asciiTheme="majorBidi" w:hAnsiTheme="majorBidi" w:cstheme="majorBidi"/>
          <w:color w:val="000000" w:themeColor="text1"/>
          <w:sz w:val="24"/>
          <w:szCs w:val="24"/>
        </w:rPr>
        <w:t>) than in the sham group (</w:t>
      </w:r>
      <w:r w:rsidRPr="00807368">
        <w:rPr>
          <w:rFonts w:asciiTheme="majorBidi" w:eastAsia="Times New Roman" w:hAnsiTheme="majorBidi" w:cstheme="majorBidi"/>
          <w:color w:val="000000"/>
          <w:sz w:val="24"/>
          <w:szCs w:val="24"/>
        </w:rPr>
        <w:t xml:space="preserve">4.29 </w:t>
      </w:r>
      <w:r w:rsidRPr="00807368">
        <w:rPr>
          <w:rFonts w:asciiTheme="majorBidi" w:hAnsiTheme="majorBidi" w:cstheme="majorBidi"/>
          <w:color w:val="000000" w:themeColor="text1"/>
          <w:sz w:val="24"/>
          <w:szCs w:val="24"/>
        </w:rPr>
        <w:t xml:space="preserve">± </w:t>
      </w:r>
      <w:r w:rsidR="006D6B65" w:rsidRPr="00807368">
        <w:rPr>
          <w:rFonts w:asciiTheme="majorBidi" w:eastAsia="Times New Roman" w:hAnsiTheme="majorBidi" w:cstheme="majorBidi"/>
          <w:sz w:val="24"/>
          <w:szCs w:val="24"/>
        </w:rPr>
        <w:t>4.29</w:t>
      </w:r>
      <w:r w:rsidRPr="00807368">
        <w:rPr>
          <w:rFonts w:asciiTheme="majorBidi" w:hAnsiTheme="majorBidi" w:cstheme="majorBidi"/>
          <w:color w:val="000000" w:themeColor="text1"/>
          <w:sz w:val="24"/>
          <w:szCs w:val="24"/>
        </w:rPr>
        <w:t xml:space="preserve">). In addition, </w:t>
      </w:r>
      <w:r w:rsidR="00980903" w:rsidRPr="00807368">
        <w:rPr>
          <w:rFonts w:asciiTheme="majorBidi" w:hAnsiTheme="majorBidi" w:cstheme="majorBidi"/>
          <w:color w:val="000000" w:themeColor="text1"/>
          <w:sz w:val="24"/>
          <w:szCs w:val="24"/>
        </w:rPr>
        <w:t xml:space="preserve">TDC was significantly less in </w:t>
      </w:r>
      <w:r w:rsidRPr="00807368">
        <w:rPr>
          <w:rFonts w:asciiTheme="majorBidi" w:hAnsiTheme="majorBidi" w:cstheme="majorBidi"/>
          <w:color w:val="000000" w:themeColor="text1"/>
          <w:sz w:val="24"/>
          <w:szCs w:val="24"/>
        </w:rPr>
        <w:t>the treatment group (</w:t>
      </w:r>
      <w:r w:rsidRPr="00807368">
        <w:rPr>
          <w:rFonts w:asciiTheme="majorBidi" w:eastAsia="Times New Roman" w:hAnsiTheme="majorBidi" w:cstheme="majorBidi"/>
          <w:color w:val="000000"/>
          <w:sz w:val="24"/>
          <w:szCs w:val="24"/>
        </w:rPr>
        <w:t xml:space="preserve">38.14 </w:t>
      </w:r>
      <w:r w:rsidRPr="00807368">
        <w:rPr>
          <w:rFonts w:asciiTheme="majorBidi" w:hAnsiTheme="majorBidi" w:cstheme="majorBidi"/>
          <w:color w:val="000000" w:themeColor="text1"/>
          <w:sz w:val="24"/>
          <w:szCs w:val="24"/>
        </w:rPr>
        <w:t xml:space="preserve">± </w:t>
      </w:r>
      <w:r w:rsidR="006D6B65" w:rsidRPr="00807368">
        <w:rPr>
          <w:rFonts w:asciiTheme="majorBidi" w:eastAsia="Times New Roman" w:hAnsiTheme="majorBidi" w:cstheme="majorBidi"/>
          <w:sz w:val="24"/>
          <w:szCs w:val="24"/>
        </w:rPr>
        <w:t>13.07</w:t>
      </w:r>
      <w:r w:rsidRPr="00807368">
        <w:rPr>
          <w:rFonts w:asciiTheme="majorBidi" w:hAnsiTheme="majorBidi" w:cstheme="majorBidi"/>
          <w:color w:val="000000" w:themeColor="text1"/>
          <w:sz w:val="24"/>
          <w:szCs w:val="24"/>
        </w:rPr>
        <w:t xml:space="preserve">) than </w:t>
      </w:r>
      <w:r w:rsidR="00980903" w:rsidRPr="00807368">
        <w:rPr>
          <w:rFonts w:asciiTheme="majorBidi" w:hAnsiTheme="majorBidi" w:cstheme="majorBidi"/>
          <w:color w:val="000000" w:themeColor="text1"/>
          <w:sz w:val="24"/>
          <w:szCs w:val="24"/>
        </w:rPr>
        <w:t>the control group (Figure 2).</w:t>
      </w:r>
    </w:p>
    <w:p w:rsidR="00F161E6" w:rsidRPr="00807368" w:rsidRDefault="00F161E6" w:rsidP="00925FD4">
      <w:pPr>
        <w:keepNext/>
        <w:keepLines/>
        <w:shd w:val="clear" w:color="auto" w:fill="FFFFFF"/>
        <w:spacing w:before="240" w:line="276" w:lineRule="auto"/>
        <w:jc w:val="both"/>
        <w:outlineLvl w:val="0"/>
        <w:rPr>
          <w:rFonts w:asciiTheme="majorBidi" w:eastAsia="Times New Roman" w:hAnsiTheme="majorBidi" w:cstheme="majorBidi"/>
          <w:b/>
          <w:bCs/>
          <w:color w:val="000000" w:themeColor="text1"/>
          <w:kern w:val="36"/>
          <w:sz w:val="24"/>
          <w:szCs w:val="24"/>
        </w:rPr>
      </w:pPr>
      <w:r w:rsidRPr="00807368">
        <w:rPr>
          <w:rFonts w:asciiTheme="majorBidi" w:eastAsiaTheme="majorEastAsia" w:hAnsiTheme="majorBidi" w:cstheme="majorBidi"/>
          <w:b/>
          <w:bCs/>
          <w:color w:val="000000" w:themeColor="text1"/>
          <w:sz w:val="24"/>
          <w:szCs w:val="24"/>
        </w:rPr>
        <w:lastRenderedPageBreak/>
        <w:t>IGF-</w:t>
      </w:r>
      <w:r w:rsidR="001245A7" w:rsidRPr="00807368">
        <w:rPr>
          <w:rFonts w:asciiTheme="majorBidi" w:eastAsiaTheme="majorEastAsia" w:hAnsiTheme="majorBidi" w:cstheme="majorBidi"/>
          <w:b/>
          <w:bCs/>
          <w:color w:val="000000" w:themeColor="text1"/>
          <w:sz w:val="24"/>
          <w:szCs w:val="24"/>
        </w:rPr>
        <w:t>II</w:t>
      </w:r>
      <w:r w:rsidRPr="00807368">
        <w:rPr>
          <w:rFonts w:asciiTheme="majorBidi" w:eastAsiaTheme="majorEastAsia" w:hAnsiTheme="majorBidi" w:cstheme="majorBidi"/>
          <w:b/>
          <w:bCs/>
          <w:color w:val="000000" w:themeColor="text1"/>
          <w:sz w:val="24"/>
          <w:szCs w:val="24"/>
        </w:rPr>
        <w:t xml:space="preserve"> effects on </w:t>
      </w:r>
      <w:r w:rsidRPr="00807368">
        <w:rPr>
          <w:rFonts w:asciiTheme="majorBidi" w:eastAsia="Times New Roman" w:hAnsiTheme="majorBidi" w:cstheme="majorBidi"/>
          <w:b/>
          <w:bCs/>
          <w:color w:val="000000" w:themeColor="text1"/>
          <w:kern w:val="36"/>
          <w:sz w:val="24"/>
          <w:szCs w:val="24"/>
        </w:rPr>
        <w:t>novel object recognition test in assessing learning and memory</w:t>
      </w:r>
    </w:p>
    <w:p w:rsidR="00F161E6" w:rsidRPr="00807368" w:rsidRDefault="00F161E6" w:rsidP="00925FD4">
      <w:pPr>
        <w:spacing w:after="0" w:line="276" w:lineRule="auto"/>
        <w:jc w:val="both"/>
        <w:rPr>
          <w:rFonts w:asciiTheme="majorBidi" w:hAnsiTheme="majorBidi" w:cstheme="majorBidi"/>
          <w:color w:val="000000" w:themeColor="text1"/>
          <w:sz w:val="24"/>
          <w:szCs w:val="24"/>
        </w:rPr>
      </w:pPr>
      <w:r w:rsidRPr="00807368">
        <w:rPr>
          <w:rFonts w:asciiTheme="majorBidi" w:hAnsiTheme="majorBidi" w:cstheme="majorBidi"/>
          <w:color w:val="000000" w:themeColor="text1"/>
          <w:sz w:val="24"/>
          <w:szCs w:val="24"/>
        </w:rPr>
        <w:t xml:space="preserve">The NOR test was used to evaluate recognition memory. According to the data obtained, discrimination </w:t>
      </w:r>
      <w:r w:rsidR="003A03FD" w:rsidRPr="00807368">
        <w:rPr>
          <w:rFonts w:asciiTheme="majorBidi" w:hAnsiTheme="majorBidi" w:cstheme="majorBidi"/>
          <w:color w:val="000000" w:themeColor="text1"/>
          <w:sz w:val="24"/>
          <w:szCs w:val="24"/>
        </w:rPr>
        <w:t>ratio</w:t>
      </w:r>
      <w:r w:rsidRPr="00807368">
        <w:rPr>
          <w:rFonts w:asciiTheme="majorBidi" w:hAnsiTheme="majorBidi" w:cstheme="majorBidi"/>
          <w:color w:val="000000" w:themeColor="text1"/>
          <w:sz w:val="24"/>
          <w:szCs w:val="24"/>
        </w:rPr>
        <w:t xml:space="preserve"> of the test</w:t>
      </w:r>
      <w:r w:rsidR="003A03FD" w:rsidRPr="00807368">
        <w:rPr>
          <w:rFonts w:asciiTheme="majorBidi" w:hAnsiTheme="majorBidi" w:cstheme="majorBidi"/>
          <w:color w:val="000000" w:themeColor="text1"/>
          <w:sz w:val="24"/>
          <w:szCs w:val="24"/>
        </w:rPr>
        <w:t>;</w:t>
      </w:r>
      <w:r w:rsidRPr="00807368">
        <w:rPr>
          <w:rFonts w:asciiTheme="majorBidi" w:hAnsiTheme="majorBidi" w:cstheme="majorBidi"/>
          <w:color w:val="000000" w:themeColor="text1"/>
          <w:sz w:val="24"/>
          <w:szCs w:val="24"/>
        </w:rPr>
        <w:t xml:space="preserve"> the duration of the object investigation by the</w:t>
      </w:r>
      <w:r w:rsidR="003D4DAC" w:rsidRPr="00807368">
        <w:rPr>
          <w:rFonts w:asciiTheme="majorBidi" w:hAnsiTheme="majorBidi" w:cstheme="majorBidi"/>
          <w:color w:val="000000" w:themeColor="text1"/>
          <w:sz w:val="24"/>
          <w:szCs w:val="24"/>
        </w:rPr>
        <w:t xml:space="preserve"> rats in the training session was not found to be</w:t>
      </w:r>
      <w:r w:rsidRPr="00807368">
        <w:rPr>
          <w:rFonts w:asciiTheme="majorBidi" w:hAnsiTheme="majorBidi" w:cstheme="majorBidi"/>
          <w:color w:val="000000" w:themeColor="text1"/>
          <w:sz w:val="24"/>
          <w:szCs w:val="24"/>
        </w:rPr>
        <w:t xml:space="preserve"> significant (data not shown).</w:t>
      </w:r>
    </w:p>
    <w:p w:rsidR="00F161E6" w:rsidRPr="00807368" w:rsidRDefault="00F161E6" w:rsidP="00925FD4">
      <w:pPr>
        <w:spacing w:after="0" w:line="276" w:lineRule="auto"/>
        <w:jc w:val="both"/>
        <w:rPr>
          <w:rFonts w:asciiTheme="majorBidi" w:hAnsiTheme="majorBidi" w:cstheme="majorBidi"/>
          <w:color w:val="000000" w:themeColor="text1"/>
          <w:sz w:val="24"/>
          <w:szCs w:val="24"/>
        </w:rPr>
      </w:pPr>
      <w:r w:rsidRPr="00807368">
        <w:rPr>
          <w:rFonts w:asciiTheme="majorBidi" w:hAnsiTheme="majorBidi" w:cstheme="majorBidi"/>
          <w:color w:val="000000" w:themeColor="text1"/>
          <w:sz w:val="24"/>
          <w:szCs w:val="24"/>
        </w:rPr>
        <w:t>The ICH group (</w:t>
      </w:r>
      <w:r w:rsidR="00B374ED" w:rsidRPr="00807368">
        <w:rPr>
          <w:rFonts w:asciiTheme="majorBidi" w:hAnsiTheme="majorBidi" w:cstheme="majorBidi"/>
          <w:color w:val="000000" w:themeColor="text1"/>
          <w:sz w:val="24"/>
          <w:szCs w:val="24"/>
        </w:rPr>
        <w:t>0.26</w:t>
      </w:r>
      <w:r w:rsidRPr="00807368">
        <w:rPr>
          <w:rFonts w:asciiTheme="majorBidi" w:hAnsiTheme="majorBidi" w:cstheme="majorBidi"/>
          <w:color w:val="000000" w:themeColor="text1"/>
          <w:sz w:val="24"/>
          <w:szCs w:val="24"/>
        </w:rPr>
        <w:t xml:space="preserve"> ± </w:t>
      </w:r>
      <w:r w:rsidR="00B374ED" w:rsidRPr="00807368">
        <w:rPr>
          <w:rFonts w:asciiTheme="majorBidi" w:hAnsiTheme="majorBidi" w:cstheme="majorBidi"/>
          <w:color w:val="000000" w:themeColor="text1"/>
          <w:sz w:val="24"/>
          <w:szCs w:val="24"/>
        </w:rPr>
        <w:t>0.062</w:t>
      </w:r>
      <w:r w:rsidRPr="00807368">
        <w:rPr>
          <w:rFonts w:asciiTheme="majorBidi" w:hAnsiTheme="majorBidi" w:cstheme="majorBidi"/>
          <w:color w:val="000000" w:themeColor="text1"/>
          <w:sz w:val="24"/>
          <w:szCs w:val="24"/>
        </w:rPr>
        <w:t>) had less exploration time in the novel object than the sham group (</w:t>
      </w:r>
      <w:r w:rsidR="00B374ED" w:rsidRPr="00807368">
        <w:rPr>
          <w:rFonts w:asciiTheme="majorBidi" w:hAnsiTheme="majorBidi" w:cstheme="majorBidi"/>
          <w:color w:val="000000" w:themeColor="text1"/>
          <w:sz w:val="24"/>
          <w:szCs w:val="24"/>
        </w:rPr>
        <w:t>0.69</w:t>
      </w:r>
      <w:r w:rsidRPr="00807368">
        <w:rPr>
          <w:rFonts w:asciiTheme="majorBidi" w:hAnsiTheme="majorBidi" w:cstheme="majorBidi"/>
          <w:color w:val="000000" w:themeColor="text1"/>
          <w:sz w:val="24"/>
          <w:szCs w:val="24"/>
        </w:rPr>
        <w:t xml:space="preserve"> ± </w:t>
      </w:r>
      <w:r w:rsidR="00B374ED" w:rsidRPr="00807368">
        <w:rPr>
          <w:rFonts w:asciiTheme="majorBidi" w:hAnsiTheme="majorBidi" w:cstheme="majorBidi"/>
          <w:color w:val="000000" w:themeColor="text1"/>
          <w:sz w:val="24"/>
          <w:szCs w:val="24"/>
        </w:rPr>
        <w:t>0.078</w:t>
      </w:r>
      <w:r w:rsidRPr="00807368">
        <w:rPr>
          <w:rFonts w:asciiTheme="majorBidi" w:hAnsiTheme="majorBidi" w:cstheme="majorBidi"/>
          <w:color w:val="000000" w:themeColor="text1"/>
          <w:sz w:val="24"/>
          <w:szCs w:val="24"/>
        </w:rPr>
        <w:t>). Further, time was spent by IGF-</w:t>
      </w:r>
      <w:r w:rsidR="00B374ED" w:rsidRPr="00807368">
        <w:rPr>
          <w:rFonts w:asciiTheme="majorBidi" w:hAnsiTheme="majorBidi" w:cstheme="majorBidi"/>
          <w:color w:val="000000" w:themeColor="text1"/>
          <w:sz w:val="24"/>
          <w:szCs w:val="24"/>
        </w:rPr>
        <w:t>II</w:t>
      </w:r>
      <w:r w:rsidRPr="00807368">
        <w:rPr>
          <w:rFonts w:asciiTheme="majorBidi" w:hAnsiTheme="majorBidi" w:cstheme="majorBidi"/>
          <w:color w:val="000000" w:themeColor="text1"/>
          <w:sz w:val="24"/>
          <w:szCs w:val="24"/>
        </w:rPr>
        <w:t xml:space="preserve"> group to seek the novel objects (</w:t>
      </w:r>
      <w:r w:rsidR="00B374ED" w:rsidRPr="00807368">
        <w:rPr>
          <w:rFonts w:asciiTheme="majorBidi" w:hAnsiTheme="majorBidi" w:cstheme="majorBidi"/>
          <w:color w:val="000000" w:themeColor="text1"/>
          <w:sz w:val="24"/>
          <w:szCs w:val="24"/>
        </w:rPr>
        <w:t>0.41</w:t>
      </w:r>
      <w:r w:rsidRPr="00807368">
        <w:rPr>
          <w:rFonts w:asciiTheme="majorBidi" w:hAnsiTheme="majorBidi" w:cstheme="majorBidi"/>
          <w:color w:val="000000" w:themeColor="text1"/>
          <w:sz w:val="24"/>
          <w:szCs w:val="24"/>
        </w:rPr>
        <w:t xml:space="preserve"> ± </w:t>
      </w:r>
      <w:r w:rsidR="00B374ED" w:rsidRPr="00807368">
        <w:rPr>
          <w:rFonts w:asciiTheme="majorBidi" w:hAnsiTheme="majorBidi" w:cstheme="majorBidi"/>
          <w:color w:val="000000" w:themeColor="text1"/>
          <w:sz w:val="24"/>
          <w:szCs w:val="24"/>
        </w:rPr>
        <w:t>0.089</w:t>
      </w:r>
      <w:r w:rsidRPr="00807368">
        <w:rPr>
          <w:rFonts w:asciiTheme="majorBidi" w:hAnsiTheme="majorBidi" w:cstheme="majorBidi"/>
          <w:color w:val="000000" w:themeColor="text1"/>
          <w:sz w:val="24"/>
          <w:szCs w:val="24"/>
        </w:rPr>
        <w:t xml:space="preserve">) </w:t>
      </w:r>
      <w:r w:rsidR="003D4DAC" w:rsidRPr="00807368">
        <w:rPr>
          <w:rFonts w:asciiTheme="majorBidi" w:hAnsiTheme="majorBidi" w:cstheme="majorBidi"/>
          <w:color w:val="000000" w:themeColor="text1"/>
          <w:sz w:val="24"/>
          <w:szCs w:val="24"/>
        </w:rPr>
        <w:t xml:space="preserve">didn’t show any </w:t>
      </w:r>
      <w:r w:rsidRPr="00807368">
        <w:rPr>
          <w:rFonts w:asciiTheme="majorBidi" w:hAnsiTheme="majorBidi" w:cstheme="majorBidi"/>
          <w:color w:val="000000" w:themeColor="text1"/>
          <w:sz w:val="24"/>
          <w:szCs w:val="24"/>
        </w:rPr>
        <w:t>significant differen</w:t>
      </w:r>
      <w:r w:rsidR="003D4DAC" w:rsidRPr="00807368">
        <w:rPr>
          <w:rFonts w:asciiTheme="majorBidi" w:hAnsiTheme="majorBidi" w:cstheme="majorBidi"/>
          <w:color w:val="000000" w:themeColor="text1"/>
          <w:sz w:val="24"/>
          <w:szCs w:val="24"/>
        </w:rPr>
        <w:t>ce compared</w:t>
      </w:r>
      <w:r w:rsidRPr="00807368">
        <w:rPr>
          <w:rFonts w:asciiTheme="majorBidi" w:hAnsiTheme="majorBidi" w:cstheme="majorBidi"/>
          <w:color w:val="000000" w:themeColor="text1"/>
          <w:sz w:val="24"/>
          <w:szCs w:val="24"/>
        </w:rPr>
        <w:t xml:space="preserve"> with </w:t>
      </w:r>
      <w:r w:rsidR="00B374ED" w:rsidRPr="00807368">
        <w:rPr>
          <w:rFonts w:asciiTheme="majorBidi" w:hAnsiTheme="majorBidi" w:cstheme="majorBidi"/>
          <w:color w:val="000000" w:themeColor="text1"/>
          <w:sz w:val="24"/>
          <w:szCs w:val="24"/>
        </w:rPr>
        <w:t>ICH</w:t>
      </w:r>
      <w:r w:rsidRPr="00807368">
        <w:rPr>
          <w:rFonts w:asciiTheme="majorBidi" w:hAnsiTheme="majorBidi" w:cstheme="majorBidi"/>
          <w:color w:val="000000" w:themeColor="text1"/>
          <w:sz w:val="24"/>
          <w:szCs w:val="24"/>
        </w:rPr>
        <w:t xml:space="preserve"> </w:t>
      </w:r>
      <w:r w:rsidR="003A03FD" w:rsidRPr="00807368">
        <w:rPr>
          <w:rFonts w:asciiTheme="majorBidi" w:hAnsiTheme="majorBidi" w:cstheme="majorBidi"/>
          <w:color w:val="000000" w:themeColor="text1"/>
          <w:sz w:val="24"/>
          <w:szCs w:val="24"/>
        </w:rPr>
        <w:t>groups (Fig. 3)</w:t>
      </w:r>
      <w:r w:rsidRPr="00807368">
        <w:rPr>
          <w:rFonts w:asciiTheme="majorBidi" w:hAnsiTheme="majorBidi" w:cstheme="majorBidi"/>
          <w:color w:val="000000" w:themeColor="text1"/>
          <w:sz w:val="24"/>
          <w:szCs w:val="24"/>
        </w:rPr>
        <w:t>.</w:t>
      </w:r>
    </w:p>
    <w:p w:rsidR="00F161E6" w:rsidRPr="00807368" w:rsidRDefault="00F161E6" w:rsidP="00925FD4">
      <w:pPr>
        <w:spacing w:after="0" w:line="276" w:lineRule="auto"/>
        <w:jc w:val="center"/>
        <w:rPr>
          <w:rFonts w:asciiTheme="majorBidi" w:hAnsiTheme="majorBidi" w:cstheme="majorBidi"/>
          <w:color w:val="000000" w:themeColor="text1"/>
          <w:sz w:val="24"/>
          <w:szCs w:val="24"/>
        </w:rPr>
      </w:pPr>
    </w:p>
    <w:p w:rsidR="00F161E6" w:rsidRPr="00807368" w:rsidRDefault="00F161E6" w:rsidP="00925FD4">
      <w:pPr>
        <w:spacing w:after="0" w:line="276" w:lineRule="auto"/>
        <w:ind w:firstLine="288"/>
        <w:jc w:val="both"/>
        <w:rPr>
          <w:rFonts w:asciiTheme="majorBidi" w:hAnsiTheme="majorBidi" w:cstheme="majorBidi"/>
          <w:color w:val="000000" w:themeColor="text1"/>
          <w:sz w:val="24"/>
          <w:szCs w:val="24"/>
        </w:rPr>
      </w:pPr>
    </w:p>
    <w:p w:rsidR="00F161E6" w:rsidRPr="00807368" w:rsidRDefault="00F161E6" w:rsidP="00925FD4">
      <w:pPr>
        <w:spacing w:after="0" w:line="276" w:lineRule="auto"/>
        <w:jc w:val="both"/>
        <w:rPr>
          <w:rFonts w:asciiTheme="majorBidi" w:hAnsiTheme="majorBidi" w:cstheme="majorBidi"/>
          <w:color w:val="000000" w:themeColor="text1"/>
          <w:sz w:val="24"/>
          <w:szCs w:val="24"/>
        </w:rPr>
      </w:pPr>
    </w:p>
    <w:p w:rsidR="00DC2100" w:rsidRPr="00807368" w:rsidRDefault="00DC2100" w:rsidP="00925FD4">
      <w:pPr>
        <w:spacing w:after="0" w:line="276" w:lineRule="auto"/>
        <w:jc w:val="both"/>
        <w:rPr>
          <w:rFonts w:asciiTheme="majorBidi" w:hAnsiTheme="majorBidi" w:cstheme="majorBidi"/>
          <w:color w:val="000000" w:themeColor="text1"/>
          <w:sz w:val="24"/>
          <w:szCs w:val="24"/>
        </w:rPr>
      </w:pPr>
    </w:p>
    <w:p w:rsidR="00824CA0" w:rsidRPr="00807368" w:rsidRDefault="00824CA0" w:rsidP="00925FD4">
      <w:pPr>
        <w:spacing w:after="0" w:line="276" w:lineRule="auto"/>
        <w:rPr>
          <w:rStyle w:val="Strong"/>
          <w:rFonts w:asciiTheme="majorBidi" w:hAnsiTheme="majorBidi" w:cstheme="majorBidi"/>
          <w:color w:val="000000" w:themeColor="text1"/>
          <w:sz w:val="24"/>
          <w:szCs w:val="24"/>
          <w:shd w:val="clear" w:color="auto" w:fill="FFFFFF"/>
        </w:rPr>
      </w:pPr>
      <w:r w:rsidRPr="00807368">
        <w:rPr>
          <w:rStyle w:val="Strong"/>
          <w:rFonts w:asciiTheme="majorBidi" w:hAnsiTheme="majorBidi" w:cstheme="majorBidi"/>
          <w:color w:val="000000" w:themeColor="text1"/>
          <w:sz w:val="24"/>
          <w:szCs w:val="24"/>
          <w:shd w:val="clear" w:color="auto" w:fill="FFFFFF"/>
        </w:rPr>
        <w:t xml:space="preserve">The decreased expression of IGF-II gene due to </w:t>
      </w:r>
      <w:r w:rsidR="00CE5A79" w:rsidRPr="00807368">
        <w:rPr>
          <w:rStyle w:val="fontstyle01"/>
          <w:rFonts w:asciiTheme="majorBidi" w:hAnsiTheme="majorBidi" w:cstheme="majorBidi"/>
          <w:b/>
          <w:bCs/>
          <w:sz w:val="24"/>
          <w:szCs w:val="24"/>
        </w:rPr>
        <w:t xml:space="preserve">recombinant </w:t>
      </w:r>
      <w:r w:rsidRPr="00807368">
        <w:rPr>
          <w:rStyle w:val="Strong"/>
          <w:rFonts w:asciiTheme="majorBidi" w:hAnsiTheme="majorBidi" w:cstheme="majorBidi"/>
          <w:color w:val="000000" w:themeColor="text1"/>
          <w:sz w:val="24"/>
          <w:szCs w:val="24"/>
          <w:shd w:val="clear" w:color="auto" w:fill="FFFFFF"/>
        </w:rPr>
        <w:t>IGF-II</w:t>
      </w:r>
      <w:r w:rsidR="006D0C63" w:rsidRPr="00807368">
        <w:rPr>
          <w:rStyle w:val="Strong"/>
          <w:rFonts w:asciiTheme="majorBidi" w:hAnsiTheme="majorBidi" w:cstheme="majorBidi"/>
          <w:color w:val="000000" w:themeColor="text1"/>
          <w:sz w:val="24"/>
          <w:szCs w:val="24"/>
          <w:shd w:val="clear" w:color="auto" w:fill="FFFFFF"/>
        </w:rPr>
        <w:t xml:space="preserve"> injection</w:t>
      </w:r>
    </w:p>
    <w:p w:rsidR="00824CA0" w:rsidRPr="00807368" w:rsidRDefault="00824CA0" w:rsidP="00DA269A">
      <w:pPr>
        <w:spacing w:after="0" w:line="276" w:lineRule="auto"/>
        <w:jc w:val="both"/>
        <w:rPr>
          <w:rFonts w:asciiTheme="majorBidi" w:hAnsiTheme="majorBidi" w:cstheme="majorBidi"/>
          <w:color w:val="000000" w:themeColor="text1"/>
          <w:sz w:val="24"/>
          <w:szCs w:val="24"/>
        </w:rPr>
      </w:pPr>
      <w:r w:rsidRPr="00807368">
        <w:rPr>
          <w:rFonts w:asciiTheme="majorBidi" w:hAnsiTheme="majorBidi" w:cstheme="majorBidi"/>
          <w:color w:val="000000" w:themeColor="text1"/>
          <w:sz w:val="24"/>
          <w:szCs w:val="24"/>
        </w:rPr>
        <w:t>The level of IGF-II mRNA in the hippocampus was measured using real-time PCR technique (Figure 4). All study groups exhibited the expression of IGF-II, but IGF-II mRNA level was significantly reduced (</w:t>
      </w:r>
      <w:r w:rsidR="00D242BB" w:rsidRPr="00807368">
        <w:rPr>
          <w:rFonts w:asciiTheme="majorBidi" w:hAnsiTheme="majorBidi" w:cstheme="majorBidi"/>
          <w:color w:val="000000" w:themeColor="text1"/>
          <w:sz w:val="24"/>
          <w:szCs w:val="24"/>
        </w:rPr>
        <w:t>1.6</w:t>
      </w:r>
      <w:r w:rsidR="00E7590F" w:rsidRPr="00807368">
        <w:rPr>
          <w:rFonts w:asciiTheme="majorBidi" w:hAnsiTheme="majorBidi" w:cstheme="majorBidi"/>
          <w:color w:val="000000" w:themeColor="text1"/>
          <w:sz w:val="24"/>
          <w:szCs w:val="24"/>
        </w:rPr>
        <w:t xml:space="preserve"> </w:t>
      </w:r>
      <w:r w:rsidRPr="00807368">
        <w:rPr>
          <w:rFonts w:asciiTheme="majorBidi" w:hAnsiTheme="majorBidi" w:cstheme="majorBidi"/>
          <w:color w:val="000000" w:themeColor="text1"/>
          <w:sz w:val="24"/>
          <w:szCs w:val="24"/>
        </w:rPr>
        <w:t xml:space="preserve">± </w:t>
      </w:r>
      <w:r w:rsidR="00D242BB" w:rsidRPr="00807368">
        <w:rPr>
          <w:rFonts w:asciiTheme="majorBidi" w:hAnsiTheme="majorBidi" w:cstheme="majorBidi"/>
          <w:color w:val="000000" w:themeColor="text1"/>
          <w:sz w:val="24"/>
          <w:szCs w:val="24"/>
        </w:rPr>
        <w:t>0.91</w:t>
      </w:r>
      <w:r w:rsidRPr="00807368">
        <w:rPr>
          <w:rFonts w:asciiTheme="majorBidi" w:hAnsiTheme="majorBidi" w:cstheme="majorBidi"/>
          <w:color w:val="000000" w:themeColor="text1"/>
          <w:sz w:val="24"/>
          <w:szCs w:val="24"/>
        </w:rPr>
        <w:t>) after injecting the 20 ng of IGF-II into the left hippocampus. IGF-II mRNA was obvious in ICH group (</w:t>
      </w:r>
      <w:r w:rsidR="00D242BB" w:rsidRPr="00807368">
        <w:rPr>
          <w:rFonts w:asciiTheme="majorBidi" w:hAnsiTheme="majorBidi" w:cstheme="majorBidi"/>
          <w:color w:val="000000" w:themeColor="text1"/>
          <w:sz w:val="24"/>
          <w:szCs w:val="24"/>
        </w:rPr>
        <w:t>103.22</w:t>
      </w:r>
      <w:r w:rsidRPr="00807368">
        <w:rPr>
          <w:rFonts w:asciiTheme="majorBidi" w:hAnsiTheme="majorBidi" w:cstheme="majorBidi"/>
          <w:color w:val="000000" w:themeColor="text1"/>
          <w:sz w:val="24"/>
          <w:szCs w:val="24"/>
        </w:rPr>
        <w:t xml:space="preserve"> ± </w:t>
      </w:r>
      <w:r w:rsidR="00D242BB" w:rsidRPr="00807368">
        <w:rPr>
          <w:rFonts w:asciiTheme="majorBidi" w:hAnsiTheme="majorBidi" w:cstheme="majorBidi"/>
          <w:color w:val="000000" w:themeColor="text1"/>
          <w:sz w:val="24"/>
          <w:szCs w:val="24"/>
        </w:rPr>
        <w:t>30.25</w:t>
      </w:r>
      <w:r w:rsidRPr="00807368">
        <w:rPr>
          <w:rFonts w:asciiTheme="majorBidi" w:hAnsiTheme="majorBidi" w:cstheme="majorBidi"/>
          <w:color w:val="000000" w:themeColor="text1"/>
          <w:sz w:val="24"/>
          <w:szCs w:val="24"/>
        </w:rPr>
        <w:t xml:space="preserve">) </w:t>
      </w:r>
      <w:r w:rsidR="00DA269A" w:rsidRPr="00807368">
        <w:rPr>
          <w:rFonts w:asciiTheme="majorBidi" w:hAnsiTheme="majorBidi" w:cstheme="majorBidi"/>
          <w:color w:val="000000" w:themeColor="text1"/>
          <w:sz w:val="24"/>
          <w:szCs w:val="24"/>
        </w:rPr>
        <w:t xml:space="preserve">but, there was no significant difference with </w:t>
      </w:r>
      <w:r w:rsidRPr="00807368">
        <w:rPr>
          <w:rFonts w:asciiTheme="majorBidi" w:hAnsiTheme="majorBidi" w:cstheme="majorBidi"/>
          <w:color w:val="000000" w:themeColor="text1"/>
          <w:sz w:val="24"/>
          <w:szCs w:val="24"/>
        </w:rPr>
        <w:t>the sham group (</w:t>
      </w:r>
      <w:r w:rsidR="00D242BB" w:rsidRPr="00807368">
        <w:rPr>
          <w:rFonts w:asciiTheme="majorBidi" w:hAnsiTheme="majorBidi" w:cstheme="majorBidi"/>
          <w:color w:val="000000" w:themeColor="text1"/>
          <w:sz w:val="24"/>
          <w:szCs w:val="24"/>
        </w:rPr>
        <w:t>174.12 ± 44.48</w:t>
      </w:r>
      <w:r w:rsidRPr="00807368">
        <w:rPr>
          <w:rFonts w:asciiTheme="majorBidi" w:hAnsiTheme="majorBidi" w:cstheme="majorBidi"/>
          <w:color w:val="000000" w:themeColor="text1"/>
          <w:sz w:val="24"/>
          <w:szCs w:val="24"/>
        </w:rPr>
        <w:t>), suggesting reduced expression of IGF-II due to ICH-induced brain damage and suppressed expression of IGF-II in the presence of higher exogenous IGF-II.</w:t>
      </w:r>
    </w:p>
    <w:p w:rsidR="00824CA0" w:rsidRPr="00807368" w:rsidRDefault="00824CA0" w:rsidP="00925FD4">
      <w:pPr>
        <w:spacing w:line="276" w:lineRule="auto"/>
        <w:jc w:val="both"/>
        <w:rPr>
          <w:rStyle w:val="Emphasis"/>
          <w:rFonts w:asciiTheme="majorBidi" w:hAnsiTheme="majorBidi" w:cstheme="majorBidi"/>
          <w:i w:val="0"/>
          <w:iCs w:val="0"/>
          <w:color w:val="000000" w:themeColor="text1"/>
          <w:sz w:val="24"/>
          <w:szCs w:val="24"/>
        </w:rPr>
      </w:pPr>
    </w:p>
    <w:p w:rsidR="004174D7" w:rsidRPr="00807368" w:rsidRDefault="004174D7" w:rsidP="00925FD4">
      <w:pPr>
        <w:spacing w:line="276" w:lineRule="auto"/>
        <w:jc w:val="both"/>
        <w:rPr>
          <w:rFonts w:asciiTheme="majorBidi" w:eastAsia="Calibri" w:hAnsiTheme="majorBidi" w:cstheme="majorBidi"/>
          <w:b/>
          <w:bCs/>
          <w:sz w:val="24"/>
          <w:szCs w:val="24"/>
          <w:lang w:bidi="fa-IR"/>
        </w:rPr>
      </w:pPr>
      <w:r w:rsidRPr="00807368">
        <w:rPr>
          <w:rFonts w:asciiTheme="majorBidi" w:eastAsia="Calibri" w:hAnsiTheme="majorBidi" w:cstheme="majorBidi"/>
          <w:b/>
          <w:bCs/>
          <w:sz w:val="24"/>
          <w:szCs w:val="24"/>
          <w:lang w:bidi="fa-IR"/>
        </w:rPr>
        <w:t>Discussion</w:t>
      </w:r>
    </w:p>
    <w:p w:rsidR="004174D7" w:rsidRPr="00807368" w:rsidRDefault="004174D7" w:rsidP="0026621C">
      <w:pPr>
        <w:spacing w:line="276" w:lineRule="auto"/>
        <w:jc w:val="both"/>
        <w:rPr>
          <w:rFonts w:asciiTheme="majorBidi" w:eastAsia="Calibri" w:hAnsiTheme="majorBidi" w:cstheme="majorBidi"/>
          <w:sz w:val="24"/>
          <w:szCs w:val="24"/>
          <w:lang w:bidi="fa-IR"/>
        </w:rPr>
      </w:pPr>
      <w:r w:rsidRPr="00807368">
        <w:rPr>
          <w:rFonts w:asciiTheme="majorBidi" w:eastAsia="Calibri" w:hAnsiTheme="majorBidi" w:cstheme="majorBidi"/>
          <w:sz w:val="24"/>
          <w:szCs w:val="24"/>
          <w:lang w:bidi="fa-IR"/>
        </w:rPr>
        <w:t xml:space="preserve">In this study, we observed that </w:t>
      </w:r>
      <w:r w:rsidR="00CD3DB1" w:rsidRPr="00807368">
        <w:rPr>
          <w:rFonts w:asciiTheme="majorBidi" w:eastAsia="Calibri" w:hAnsiTheme="majorBidi" w:cstheme="majorBidi"/>
          <w:sz w:val="24"/>
          <w:szCs w:val="24"/>
          <w:lang w:bidi="fa-IR"/>
        </w:rPr>
        <w:t>recombinant</w:t>
      </w:r>
      <w:r w:rsidRPr="00807368">
        <w:rPr>
          <w:rFonts w:asciiTheme="majorBidi" w:eastAsia="Calibri" w:hAnsiTheme="majorBidi" w:cstheme="majorBidi"/>
          <w:sz w:val="24"/>
          <w:szCs w:val="24"/>
          <w:lang w:bidi="fa-IR"/>
        </w:rPr>
        <w:t xml:space="preserve"> IGF-II could significantly increase avoidance memory, but did not have a significant effect on investigation memory</w:t>
      </w:r>
      <w:r w:rsidR="00E0132E" w:rsidRPr="00807368">
        <w:rPr>
          <w:rFonts w:asciiTheme="majorBidi" w:eastAsia="Calibri" w:hAnsiTheme="majorBidi" w:cstheme="majorBidi"/>
          <w:sz w:val="24"/>
          <w:szCs w:val="24"/>
          <w:lang w:bidi="fa-IR"/>
        </w:rPr>
        <w:t xml:space="preserve"> </w:t>
      </w:r>
      <w:r w:rsidRPr="00807368">
        <w:rPr>
          <w:rFonts w:asciiTheme="majorBidi" w:eastAsia="Calibri" w:hAnsiTheme="majorBidi" w:cstheme="majorBidi"/>
          <w:sz w:val="24"/>
          <w:szCs w:val="24"/>
          <w:lang w:bidi="fa-IR"/>
        </w:rPr>
        <w:t>caused</w:t>
      </w:r>
      <w:r w:rsidR="00785FE8" w:rsidRPr="00807368">
        <w:rPr>
          <w:rFonts w:asciiTheme="majorBidi" w:eastAsia="Calibri" w:hAnsiTheme="majorBidi" w:cstheme="majorBidi"/>
          <w:sz w:val="24"/>
          <w:szCs w:val="24"/>
          <w:lang w:bidi="fa-IR"/>
        </w:rPr>
        <w:t xml:space="preserve"> by </w:t>
      </w:r>
      <w:r w:rsidR="0026621C" w:rsidRPr="00807368">
        <w:rPr>
          <w:rFonts w:asciiTheme="majorBidi" w:eastAsia="Calibri" w:hAnsiTheme="majorBidi" w:cstheme="majorBidi"/>
          <w:sz w:val="24"/>
          <w:szCs w:val="24"/>
          <w:lang w:bidi="fa-IR"/>
        </w:rPr>
        <w:t>ICH</w:t>
      </w:r>
      <w:r w:rsidRPr="00807368">
        <w:rPr>
          <w:rFonts w:asciiTheme="majorBidi" w:eastAsia="Calibri" w:hAnsiTheme="majorBidi" w:cstheme="majorBidi"/>
          <w:sz w:val="24"/>
          <w:szCs w:val="24"/>
          <w:lang w:bidi="fa-IR"/>
        </w:rPr>
        <w:t>.</w:t>
      </w:r>
      <w:r w:rsidRPr="00807368">
        <w:rPr>
          <w:rFonts w:asciiTheme="majorBidi" w:hAnsiTheme="majorBidi" w:cstheme="majorBidi"/>
          <w:sz w:val="24"/>
          <w:szCs w:val="24"/>
        </w:rPr>
        <w:t xml:space="preserve"> </w:t>
      </w:r>
      <w:r w:rsidRPr="00807368">
        <w:rPr>
          <w:rFonts w:asciiTheme="majorBidi" w:eastAsia="Calibri" w:hAnsiTheme="majorBidi" w:cstheme="majorBidi"/>
          <w:sz w:val="24"/>
          <w:szCs w:val="24"/>
          <w:lang w:bidi="fa-IR"/>
        </w:rPr>
        <w:t xml:space="preserve">However, </w:t>
      </w:r>
      <w:r w:rsidR="00E0132E" w:rsidRPr="00807368">
        <w:rPr>
          <w:rFonts w:asciiTheme="majorBidi" w:eastAsia="Calibri" w:hAnsiTheme="majorBidi" w:cstheme="majorBidi"/>
          <w:sz w:val="24"/>
          <w:szCs w:val="24"/>
          <w:lang w:bidi="fa-IR"/>
        </w:rPr>
        <w:t xml:space="preserve">our data </w:t>
      </w:r>
      <w:r w:rsidR="00CE5A79" w:rsidRPr="00807368">
        <w:rPr>
          <w:rFonts w:asciiTheme="majorBidi" w:eastAsia="Calibri" w:hAnsiTheme="majorBidi" w:cstheme="majorBidi"/>
          <w:sz w:val="24"/>
          <w:szCs w:val="24"/>
          <w:lang w:bidi="fa-IR"/>
        </w:rPr>
        <w:t>is in line</w:t>
      </w:r>
      <w:r w:rsidR="00E0132E" w:rsidRPr="00807368">
        <w:rPr>
          <w:rFonts w:asciiTheme="majorBidi" w:eastAsia="Calibri" w:hAnsiTheme="majorBidi" w:cstheme="majorBidi"/>
          <w:sz w:val="24"/>
          <w:szCs w:val="24"/>
          <w:lang w:bidi="fa-IR"/>
        </w:rPr>
        <w:t xml:space="preserve"> with </w:t>
      </w:r>
      <w:r w:rsidRPr="00807368">
        <w:rPr>
          <w:rFonts w:asciiTheme="majorBidi" w:eastAsia="Calibri" w:hAnsiTheme="majorBidi" w:cstheme="majorBidi"/>
          <w:sz w:val="24"/>
          <w:szCs w:val="24"/>
          <w:lang w:bidi="fa-IR"/>
        </w:rPr>
        <w:t>studies by Alberini et al.</w:t>
      </w:r>
      <w:r w:rsidR="00E0132E" w:rsidRPr="00807368">
        <w:rPr>
          <w:rFonts w:asciiTheme="majorBidi" w:eastAsia="Calibri" w:hAnsiTheme="majorBidi" w:cstheme="majorBidi"/>
          <w:sz w:val="24"/>
          <w:szCs w:val="24"/>
          <w:lang w:bidi="fa-IR"/>
        </w:rPr>
        <w:t xml:space="preserve"> that</w:t>
      </w:r>
      <w:r w:rsidRPr="00807368">
        <w:rPr>
          <w:rFonts w:asciiTheme="majorBidi" w:eastAsia="Calibri" w:hAnsiTheme="majorBidi" w:cstheme="majorBidi"/>
          <w:sz w:val="24"/>
          <w:szCs w:val="24"/>
          <w:lang w:bidi="fa-IR"/>
        </w:rPr>
        <w:t xml:space="preserve"> suggest IGF-II administration—both intrahippocampal and systemically—significantly improves memory types </w:t>
      </w:r>
      <w:r w:rsidR="0073523B" w:rsidRPr="00807368">
        <w:rPr>
          <w:rFonts w:asciiTheme="majorBidi" w:eastAsia="Calibri" w:hAnsiTheme="majorBidi" w:cstheme="majorBidi"/>
          <w:sz w:val="24"/>
          <w:szCs w:val="24"/>
          <w:lang w:bidi="fa-IR"/>
        </w:rPr>
        <w:fldChar w:fldCharType="begin" w:fldLock="1"/>
      </w:r>
      <w:r w:rsidR="00770076">
        <w:rPr>
          <w:rFonts w:asciiTheme="majorBidi" w:eastAsia="Calibri" w:hAnsiTheme="majorBidi" w:cstheme="majorBidi"/>
          <w:sz w:val="24"/>
          <w:szCs w:val="24"/>
          <w:lang w:bidi="fa-IR"/>
        </w:rPr>
        <w:instrText>ADDIN CSL_CITATION {"citationItems":[{"id":"ITEM-1","itemData":{"DOI":"10.1038/npp.2014.69","ISBN":"1740-634X (Electronic)\\r0006-3223 (Linking)","ISSN":"1740634X","PMID":"24642597","abstract":"To treat cognitive disorders in humans, new effective therapies that can be easily delivered systemically are needed. Previous studies showed that a bilateral injection of insulin-like growth factor II (IGF-II) into the dorsal hippocampus of rats or mice enhances fear memories and facilitates fear extinction. Here, we report that, in mice, systemic treatments with IGF-II given before training significantly enhance the retention and persistence of several types of working, short-term and long-term memories, including fear conditioning, object recognition, object placement, social recognition, and spatial reference memory. IGF-II-mediated memory enhancement does not alter memory flexibility or the ability for new learning and also occurs when IGF-II treatment is given in concert with memory retrieval. Thus IGF-II may represent a potentially important and effective treatment for enhancing human cognitive and executive functions.","author":[{"dropping-particle":"","family":"Stern","given":"Sarah A","non-dropping-particle":"","parse-names":false,"suffix":""},{"dropping-particle":"","family":"Kohtz","given":"Amy S","non-dropping-particle":"","parse-names":false,"suffix":""},{"dropping-particle":"","family":"Pollonini","given":"Gabriella","non-dropping-particle":"","parse-names":false,"suffix":""},{"dropping-particle":"","family":"Alberini","given":"Cristina M","non-dropping-particle":"","parse-names":false,"suffix":""}],"container-title":"Neuropsychopharmacology","id":"ITEM-1","issue":"9","issued":{"date-parts":[["2014","8","19"]]},"page":"2179-2190","title":"Enhancement of memories by systemic administration of insulin-like growth factor II","type":"article-journal","volume":"39"},"uris":["http://www.mendeley.com/documents/?uuid=3f601c5e-f8b0-3f65-8c2d-d13e3a7e3167"]},{"id":"ITEM-2","itemData":{"ISSN":"0092-8674","PMID":"8137425","abstract":"The consolidation of long-term memory requires protein and mRNA synthesis. A similar requirement has been demonstrated for learning-related synaptic plasticity in the gill-withdrawal reflex of Aplysia. The monosynaptic component of this reflex can be reconstituted in vitro, where it undergoes both short- and long-term increases in synaptic strength in response to serotonin (5-HT), a neurotransmitter released during behavioral sensitization, a simple form of learning. As with sensitization, the long-term synaptic modification is characterized by a brief consolidation period during which gene expression is required. We find that during this phase, the transcription factor Aplysia CCAAT enhancer-binding protein (ApC/EBP) is induced rapidly by 5-HT and by cAMP, even in the presence of protein synthesis inhibitors. Blocking the function of ApC/EBP blocks long-term facilitation selectively without affecting the short-term process. These data indicate that cAMP-inducible immediate-early genes have an essential role in the consolidation of stable long-term synaptic plasticity in Aplysia.","author":[{"dropping-particle":"","family":"Alberini","given":"C M","non-dropping-particle":"","parse-names":false,"suffix":""},{"dropping-particle":"","family":"Ghirardi","given":"M","non-dropping-particle":"","parse-names":false,"suffix":""},{"dropping-particle":"","family":"Metz","given":"R","non-dropping-particle":"","parse-names":false,"suffix":""},{"dropping-particle":"","family":"Kandel","given":"E R","non-dropping-particle":"","parse-names":false,"suffix":""}],"container-title":"Cell","id":"ITEM-2","issue":"6","issued":{"date-parts":[["1994","3","25"]]},"page":"1099-114","title":"C/EBP is an immediate-early gene required for the consolidation of long-term facilitation in Aplysia.","type":"article-journal","volume":"76"},"uris":["http://www.mendeley.com/documents/?uuid=051c480c-ec81-3278-a326-f25fdba33869"]},{"id":"ITEM-3","itemData":{"DOI":"10.1038/nature09667","ISBN":"1476-4687 (Electronic)\\r0028-0836 (Linking)","ISSN":"00280836","PMID":"21270887","abstract":"We report that, in the rat, administering insulin-like growth factor II (IGF-II, also known as IGF2) significantly enhances memory retention and prevents forgetting. Inhibitory avoidance learning leads to an increase in hippocampal expression of IGF-II, which requires the transcription factor CCAAT enhancer binding protein β and is essential for memory consolidation. Furthermore, injections of recombinant IGF-II into the hippocampus after either training or memory retrieval significantly enhance memory retention and prevent forgetting. To be effective, IGF-II needs to be administered within a sensitive period of memory consolidation. IGF-II-dependent memory enhancement requires IGF-II receptors, new protein synthesis, the function of activity-regulated cytoskeletal-associated protein and glycogen-synthase kinase 3 (GSK3). Moreover, it correlates with a significant activation of synaptic GSK3β and increased expression of GluR1 (also known as GRIA1) α-amino-3-hydroxy-5-methyl-4-isoxasolepropionic acid receptor subunits. In hippocampal slices, IGF-II promotes IGF-II receptor-dependent, persistent long-term potentiation after weak synaptic stimulation. Thus, IGF-II may represent a novel target for cognitive enhancement therapies.","author":[{"dropping-particle":"","family":"Chen","given":"Dillon Y.","non-dropping-particle":"","parse-names":false,"suffix":""},{"dropping-particle":"","family":"Stern","given":"Sarah A.","non-dropping-particle":"","parse-names":false,"suffix":""},{"dropping-particle":"","family":"Garcia-Osta","given":"Ana","non-dropping-particle":"","parse-names":false,"suffix":""},{"dropping-particle":"","family":"Saunier-Rebori","given":"Bernadette","non-dropping-particle":"","parse-names":false,"suffix":""},{"dropping-particle":"","family":"Pollonini","given":"Gabriella","non-dropping-particle":"","parse-names":false,"suffix":""},{"dropping-particle":"","family":"Bambah-Mukku","given":"Dhananjay","non-dropping-particle":"","parse-names":false,"suffix":""},{"dropping-particle":"","family":"Blitzer","given":"Robert D.","non-dropping-particle":"","parse-names":false,"suffix":""},{"dropping-particle":"","family":"Alberini","given":"Cristina M.file:///C:/Users/farzaneh/Desktop/A critical role for IGF-II in memory consolidation and enhancement.pdf","non-dropping-particle":"","parse-names":false,"suffix":""}],"container-title":"Nature","id":"ITEM-3","issue":"7331","issued":{"date-parts":[["2011","1","27"]]},"page":"491-499","title":"A critical role for IGF-II in memory consolidation and enhancement","type":"article-journal","volume":"469"},"uris":["http://www.mendeley.com/documents/?uuid=54f82370-704b-3b52-bfae-4e999751fe56"]}],"mendeley":{"formattedCitation":"[1,9,10]","plainTextFormattedCitation":"[1,9,10]","previouslyFormattedCitation":"(1,9,10)"},"properties":{"noteIndex":0},"schema":"https://github.com/citation-style-language/schema/raw/master/csl-citation.json"}</w:instrText>
      </w:r>
      <w:r w:rsidR="0073523B" w:rsidRPr="00807368">
        <w:rPr>
          <w:rFonts w:asciiTheme="majorBidi" w:eastAsia="Calibri" w:hAnsiTheme="majorBidi" w:cstheme="majorBidi"/>
          <w:sz w:val="24"/>
          <w:szCs w:val="24"/>
          <w:lang w:bidi="fa-IR"/>
        </w:rPr>
        <w:fldChar w:fldCharType="separate"/>
      </w:r>
      <w:r w:rsidR="00770076" w:rsidRPr="00770076">
        <w:rPr>
          <w:rFonts w:asciiTheme="majorBidi" w:eastAsia="Calibri" w:hAnsiTheme="majorBidi" w:cstheme="majorBidi"/>
          <w:noProof/>
          <w:sz w:val="24"/>
          <w:szCs w:val="24"/>
          <w:lang w:bidi="fa-IR"/>
        </w:rPr>
        <w:t>[1,9,10]</w:t>
      </w:r>
      <w:r w:rsidR="0073523B" w:rsidRPr="00807368">
        <w:rPr>
          <w:rFonts w:asciiTheme="majorBidi" w:eastAsia="Calibri" w:hAnsiTheme="majorBidi" w:cstheme="majorBidi"/>
          <w:sz w:val="24"/>
          <w:szCs w:val="24"/>
          <w:lang w:bidi="fa-IR"/>
        </w:rPr>
        <w:fldChar w:fldCharType="end"/>
      </w:r>
      <w:r w:rsidRPr="00807368">
        <w:rPr>
          <w:rFonts w:asciiTheme="majorBidi" w:eastAsia="Calibri" w:hAnsiTheme="majorBidi" w:cstheme="majorBidi"/>
          <w:sz w:val="24"/>
          <w:szCs w:val="24"/>
          <w:lang w:bidi="fa-IR"/>
        </w:rPr>
        <w:t xml:space="preserve">. Pascual-Lucas et al. in a study on a transgenic mouse model showed that IGF-II could improve memory and reduce synaptic deficiency </w:t>
      </w:r>
      <w:r w:rsidR="0073523B" w:rsidRPr="00807368">
        <w:rPr>
          <w:rFonts w:asciiTheme="majorBidi" w:eastAsia="Calibri" w:hAnsiTheme="majorBidi" w:cstheme="majorBidi"/>
          <w:sz w:val="24"/>
          <w:szCs w:val="24"/>
          <w:lang w:bidi="fa-IR"/>
        </w:rPr>
        <w:fldChar w:fldCharType="begin" w:fldLock="1"/>
      </w:r>
      <w:r w:rsidR="00770076">
        <w:rPr>
          <w:rFonts w:asciiTheme="majorBidi" w:eastAsia="Calibri" w:hAnsiTheme="majorBidi" w:cstheme="majorBidi"/>
          <w:sz w:val="24"/>
          <w:szCs w:val="24"/>
          <w:lang w:bidi="fa-IR"/>
        </w:rPr>
        <w:instrText>ADDIN CSL_CITATION {"citationItems":[{"id":"ITEM-1","itemData":{"DOI":"10.15252/emmm.201404228","ISSN":"1757-4676","PMID":"25100745","abstract":"Insulin-like growth factor 2 (IGF2) was recently found to play a critical role in memory consolidation in rats and mice, and hippocampal or systemic administration of recombinant IGF2 enhances memory. Here, using a gene therapy-based approach with adeno-associated virus (AAV), we show that IGF2 overexpression in the hippocampus of aged wild-type mice enhances memory and promotes dendritic spine formation. Furthermore, we report that IGF2 expression decreases in the hippocampus of patients with Alzheimer's disease, and this leads us to hypothesize that increased IGF2 levels may be beneficial for treating the disease. Thus, we used the AAV system to deliver IGF2 or IGF1 into the hippocampus of the APP mouse model Tg2576 and demonstrate that IGF2 and insulin-like growth factor 1 (IGF1) rescue behavioural deficits, promote dendritic spine formation and restore normal hippocampal excitatory synaptic transmission. The brains of Tg2576 mice that overexpress IGF2 but not IGF1 also show a significant reduction in amyloid levels. This reduction probably occurs through an interaction with the IGF2 receptor (IGF2R). Hence, IGF2 and, to a lesser extent, IGF1 may be effective treatments for Alzheimer's disease.","author":[{"dropping-particle":"","family":"Pascual-Lucas","given":"M.","non-dropping-particle":"","parse-names":false,"suffix":""},{"dropping-particle":"","family":"Viana da Silva","given":"S.","non-dropping-particle":"","parse-names":false,"suffix":""},{"dropping-particle":"","family":"Scala","given":"M.","non-dropping-particle":"Di","parse-names":false,"suffix":""},{"dropping-particle":"","family":"Garcia-Barroso","given":"C.","non-dropping-particle":"","parse-names":false,"suffix":""},{"dropping-particle":"","family":"Gonzalez-Aseguinolaza","given":"G.","non-dropping-particle":"","parse-names":false,"suffix":""},{"dropping-particle":"","family":"Mulle","given":"C.","non-dropping-particle":"","parse-names":false,"suffix":""},{"dropping-particle":"","family":"Alberini","given":"C. M.","non-dropping-particle":"","parse-names":false,"suffix":""},{"dropping-particle":"","family":"Cuadrado-Tejedor","given":"M.","non-dropping-particle":"","parse-names":false,"suffix":""},{"dropping-particle":"","family":"Garcia-Osta","given":"A.","non-dropping-particle":"","parse-names":false,"suffix":""}],"container-title":"EMBO Molecular Medicine","id":"ITEM-1","issue":"10","issued":{"date-parts":[["2014","10","1"]]},"page":"1246-1262","title":"Insulin-like growth factor 2 reverses memory and synaptic deficits in APP transgenic mice","type":"article-journal","volume":"6"},"uris":["http://www.mendeley.com/documents/?uuid=3605fd54-357b-386e-9289-9bfe2b9a1dab"]}],"mendeley":{"formattedCitation":"[30]","plainTextFormattedCitation":"[30]","previouslyFormattedCitation":"(30)"},"properties":{"noteIndex":0},"schema":"https://github.com/citation-style-language/schema/raw/master/csl-citation.json"}</w:instrText>
      </w:r>
      <w:r w:rsidR="0073523B" w:rsidRPr="00807368">
        <w:rPr>
          <w:rFonts w:asciiTheme="majorBidi" w:eastAsia="Calibri" w:hAnsiTheme="majorBidi" w:cstheme="majorBidi"/>
          <w:sz w:val="24"/>
          <w:szCs w:val="24"/>
          <w:lang w:bidi="fa-IR"/>
        </w:rPr>
        <w:fldChar w:fldCharType="separate"/>
      </w:r>
      <w:r w:rsidR="00770076" w:rsidRPr="00770076">
        <w:rPr>
          <w:rFonts w:asciiTheme="majorBidi" w:eastAsia="Calibri" w:hAnsiTheme="majorBidi" w:cstheme="majorBidi"/>
          <w:noProof/>
          <w:sz w:val="24"/>
          <w:szCs w:val="24"/>
          <w:lang w:bidi="fa-IR"/>
        </w:rPr>
        <w:t>[30]</w:t>
      </w:r>
      <w:r w:rsidR="0073523B" w:rsidRPr="00807368">
        <w:rPr>
          <w:rFonts w:asciiTheme="majorBidi" w:eastAsia="Calibri" w:hAnsiTheme="majorBidi" w:cstheme="majorBidi"/>
          <w:sz w:val="24"/>
          <w:szCs w:val="24"/>
          <w:lang w:bidi="fa-IR"/>
        </w:rPr>
        <w:fldChar w:fldCharType="end"/>
      </w:r>
      <w:r w:rsidR="00E2248D" w:rsidRPr="00807368">
        <w:rPr>
          <w:rFonts w:asciiTheme="majorBidi" w:eastAsia="Calibri" w:hAnsiTheme="majorBidi" w:cstheme="majorBidi"/>
          <w:sz w:val="24"/>
          <w:szCs w:val="24"/>
          <w:lang w:bidi="fa-IR"/>
        </w:rPr>
        <w:t>. To our knowledge there isn’t</w:t>
      </w:r>
      <w:r w:rsidRPr="00807368">
        <w:rPr>
          <w:rFonts w:asciiTheme="majorBidi" w:eastAsia="Calibri" w:hAnsiTheme="majorBidi" w:cstheme="majorBidi"/>
          <w:sz w:val="24"/>
          <w:szCs w:val="24"/>
          <w:lang w:bidi="fa-IR"/>
        </w:rPr>
        <w:t xml:space="preserve"> a</w:t>
      </w:r>
      <w:r w:rsidR="00E2248D" w:rsidRPr="00807368">
        <w:rPr>
          <w:rFonts w:asciiTheme="majorBidi" w:eastAsia="Calibri" w:hAnsiTheme="majorBidi" w:cstheme="majorBidi"/>
          <w:sz w:val="24"/>
          <w:szCs w:val="24"/>
          <w:lang w:bidi="fa-IR"/>
        </w:rPr>
        <w:t>ny other</w:t>
      </w:r>
      <w:r w:rsidRPr="00807368">
        <w:rPr>
          <w:rFonts w:asciiTheme="majorBidi" w:eastAsia="Calibri" w:hAnsiTheme="majorBidi" w:cstheme="majorBidi"/>
          <w:sz w:val="24"/>
          <w:szCs w:val="24"/>
          <w:lang w:bidi="fa-IR"/>
        </w:rPr>
        <w:t xml:space="preserve"> study on the effect of IGF-II on memory impaired due to acute cerebral injury, such as stroke and trauma.</w:t>
      </w:r>
      <w:r w:rsidRPr="00807368">
        <w:rPr>
          <w:rFonts w:asciiTheme="majorBidi" w:hAnsiTheme="majorBidi" w:cstheme="majorBidi"/>
          <w:sz w:val="24"/>
          <w:szCs w:val="24"/>
        </w:rPr>
        <w:t xml:space="preserve"> </w:t>
      </w:r>
      <w:r w:rsidRPr="00807368">
        <w:rPr>
          <w:rFonts w:asciiTheme="majorBidi" w:eastAsia="Calibri" w:hAnsiTheme="majorBidi" w:cstheme="majorBidi"/>
          <w:sz w:val="24"/>
          <w:szCs w:val="24"/>
          <w:lang w:bidi="fa-IR"/>
        </w:rPr>
        <w:t xml:space="preserve">Considering that IGF-II is a growth factor and a potent anti-inflammatory factor </w:t>
      </w:r>
      <w:r w:rsidR="00E2248D" w:rsidRPr="00807368">
        <w:rPr>
          <w:rFonts w:asciiTheme="majorBidi" w:eastAsia="Calibri" w:hAnsiTheme="majorBidi" w:cstheme="majorBidi"/>
          <w:sz w:val="24"/>
          <w:szCs w:val="24"/>
          <w:lang w:bidi="fa-IR"/>
        </w:rPr>
        <w:t>without any reported adverse effect</w:t>
      </w:r>
      <w:r w:rsidRPr="00807368">
        <w:rPr>
          <w:rFonts w:asciiTheme="majorBidi" w:eastAsia="Calibri" w:hAnsiTheme="majorBidi" w:cstheme="majorBidi"/>
          <w:sz w:val="24"/>
          <w:szCs w:val="24"/>
          <w:lang w:bidi="fa-IR"/>
        </w:rPr>
        <w:t>, it can be considered as an effective treatment.</w:t>
      </w:r>
      <w:r w:rsidRPr="00807368">
        <w:rPr>
          <w:rFonts w:asciiTheme="majorBidi" w:hAnsiTheme="majorBidi" w:cstheme="majorBidi"/>
          <w:sz w:val="24"/>
          <w:szCs w:val="24"/>
        </w:rPr>
        <w:t xml:space="preserve"> </w:t>
      </w:r>
      <w:r w:rsidRPr="00807368">
        <w:rPr>
          <w:rFonts w:asciiTheme="majorBidi" w:eastAsia="Calibri" w:hAnsiTheme="majorBidi" w:cstheme="majorBidi"/>
          <w:sz w:val="24"/>
          <w:szCs w:val="24"/>
          <w:lang w:bidi="fa-IR"/>
        </w:rPr>
        <w:t xml:space="preserve">IGFs are secreted as endogenous anti-inflammatory factors of M2 microglia after injury </w:t>
      </w:r>
      <w:r w:rsidR="0073523B" w:rsidRPr="00807368">
        <w:rPr>
          <w:rFonts w:asciiTheme="majorBidi" w:eastAsia="Calibri" w:hAnsiTheme="majorBidi" w:cstheme="majorBidi"/>
          <w:sz w:val="24"/>
          <w:szCs w:val="24"/>
          <w:lang w:bidi="fa-IR"/>
        </w:rPr>
        <w:fldChar w:fldCharType="begin" w:fldLock="1"/>
      </w:r>
      <w:r w:rsidR="00770076">
        <w:rPr>
          <w:rFonts w:asciiTheme="majorBidi" w:eastAsia="Calibri" w:hAnsiTheme="majorBidi" w:cstheme="majorBidi"/>
          <w:sz w:val="24"/>
          <w:szCs w:val="24"/>
          <w:lang w:bidi="fa-IR"/>
        </w:rPr>
        <w:instrText>ADDIN CSL_CITATION {"citationItems":[{"id":"ITEM-1","itemData":{"DOI":"10.1186/1742-2094-10-37","ISSN":"1742-2094","PMID":"23497056","abstract":"BACKGROUND Recent studies in experimental animals show that insulin-like growth factor 1 (IGF1) plays a trophic role during development and tissue injury and that microglia are important sources of IGF1. However, little information is available regarding the expression, regulation, and function of IGF1 and related proteins in human brain cells. In the current study, we examined the expression of IGF1 and IGF2 in human microglia in vivo and in vitro. METHODS Expression of IGF1 and IGF2 was examined by immunohistochemistry in post-mortem human brain sections derived from HIV+ and HIV- brains. In primary cultures of human fetal microglia, IGF1 and IGF2 mRNA and protein expression was examined by Q-PCR, ELISA, and Western blot analysis. Additionally, the role of IGF1 and IGF2 in neuroprotection was examined in primary human neuronal glial cultures. RESULTS Immunohistochemistry of human brain tissues showed that nonparenchymal cells (vessels and meninges), as well as parenchymal microglia and macrophages were positive for IGF1, in both HIV encephalitis and control brains, while IGF2 was undetectable. Cultured microglia expressed IGF1 mRNA and produced pg/ml levels of IGF1 protein; this was significantly suppressed by proinflammatory mediators, such as lipopolysaccharide (LPS), poly(I:C), and IFNγ. The Th2 cytokines IL-4 and IL-13 had no significant effect, but the cAMP analog (dibutyryl cAMP) significantly increased IGF1 production. In contrast, microglial IGF2 mRNA and protein (determined by Western blot) were upregulated by LPS. IGF1 receptor (IGF1R) immunoreactivity was predominantly expressed by neurons, and both IGF1 and IGF2 significantly protected neurons from cytokine (IL-1/IFNγ) induced death. CONCLUSIONS Our study in human brain tissues and cells indicates that microglia are important sources of neurotrophic growth factors IGF1 and IGF2, and that microglial activation phenotypes can influence the growth factor expression. Importantly, our results suggest that chronic neuroinflammation and upregulation of proinflammatory cytokines could lead to neurodegeneration by suppressing the production of microglia-derived neuronal growth factors, such as IGF1.","author":[{"dropping-particle":"","family":"Suh","given":"Hyeon-Sook","non-dropping-particle":"","parse-names":false,"suffix":""},{"dropping-particle":"","family":"Zhao","given":"Meng-Liang","non-dropping-particle":"","parse-names":false,"suffix":""},{"dropping-particle":"","family":"Derico","given":"Leandra","non-dropping-particle":"","parse-names":false,"suffix":""},{"dropping-particle":"","family":"Choi","given":"Namjong","non-dropping-particle":"","parse-names":false,"suffix":""},{"dropping-particle":"","family":"Lee","given":"Sunhee C","non-dropping-particle":"","parse-names":false,"suffix":""}],"container-title":"Journal of Neuroinflammation","id":"ITEM-1","issue":"1","issued":{"date-parts":[["2013","12","12"]]},"page":"805","title":"Insulin-like growth factor 1 and 2 (IGF1, IGF2) expression in human microglia: differential regulation by inflammatory mediators","type":"article-journal","volume":"10"},"uris":["http://www.mendeley.com/documents/?uuid=379132cb-0050-35ce-86e1-44108b493e11"]},{"id":"ITEM-2","itemData":{"DOI":"10.3389/fnagi.2017.00365","ISSN":"1663-4365","PMID":"29163145","abstract":"Insulin-like growth factor-1 (IGF-1) effects on aging and neurodegeneration is still controversial. However, it is widely admitted that IGF-1 is involved in the neuroinflammatory response. In peripheral tissues, several studies showed that IGF-1 inhibited the expression of inflammatory markers, although other studies concluded that IGF-1 has proinflammatory functions. Furthermore, proinflammatory cytokines such as TNF-α impaired IGF-1 signaling. In the brain, there are controversial results on effects of IGF-1 in neuroinflammation. In addition to direct protective effects on neurons, several studies revealed anti-inflammatory effects of IGF-1 acting on astrocytes and microglia, and that IGF-1 may also inhibit blood brain barrier permeability. Altogether suggests that the aging-related decrease in IGF-1 levels may contribute to the aging-related pro-inflammatory state. IGF-1 inhibits the astrocytic response to inflammatory stimuli, and modulates microglial phenotype (IGF-1 promotes the microglial M2 and inhibits of M1 phenotype). Furthermore, IGF-1 is mitogenic for microglia. IGF-1 and estrogen interact to modulate the neuroinflammatory response and microglial and astrocytic phenotypes. Brain renin-angiotensin and IGF-1 systems also interact to modulate neuroinflammation. Induction of microglial IGF-1 by angiotensin, and possibly by other pro-inflammatory inducers, plays a major role in the repression of the M1 microglial neurotoxic phenotype and the enhancement of the transition to an M2 microglial repair/regenerative phenotype. This mechanism is impaired in aged brains. Aging-related decrease in IGF-1 may contribute to the loss of capacity of microglia to undergo M2 activation. Fine tuning of IGF-1 levels may be critical for regulating the neuroinflammatory response, and IGF-1 may be involved in inflammation in a context-dependent mode.","author":[{"dropping-particle":"","family":"Labandeira-Garcia","given":"Jose L.","non-dropping-particle":"","parse-names":false,"suffix":""},{"dropping-particle":"","family":"Costa-Besada","given":"Maria A.","non-dropping-particle":"","parse-names":false,"suffix":""},{"dropping-particle":"","family":"Labandeira","given":"Carmen M.","non-dropping-particle":"","parse-names":false,"suffix":""},{"dropping-particle":"","family":"Villar-Cheda","given":"Begoña","non-dropping-particle":"","parse-names":false,"suffix":""},{"dropping-particle":"","family":"Rodríguez-Perez","given":"Ana I.","non-dropping-particle":"","parse-names":false,"suffix":""}],"container-title":"Frontiers in Aging Neuroscience","id":"ITEM-2","issued":{"date-parts":[["2017","11","3"]]},"page":"365","title":"Insulin-Like Growth Factor-1 and Neuroinflammation","type":"article-journal","volume":"9"},"uris":["http://www.mendeley.com/documents/?uuid=23fea67b-4d70-38c6-8eb3-eb7f854bf51e"]}],"mendeley":{"formattedCitation":"[16,31]","plainTextFormattedCitation":"[16,31]","previouslyFormattedCitation":"(16,31)"},"properties":{"noteIndex":0},"schema":"https://github.com/citation-style-language/schema/raw/master/csl-citation.json"}</w:instrText>
      </w:r>
      <w:r w:rsidR="0073523B" w:rsidRPr="00807368">
        <w:rPr>
          <w:rFonts w:asciiTheme="majorBidi" w:eastAsia="Calibri" w:hAnsiTheme="majorBidi" w:cstheme="majorBidi"/>
          <w:sz w:val="24"/>
          <w:szCs w:val="24"/>
          <w:lang w:bidi="fa-IR"/>
        </w:rPr>
        <w:fldChar w:fldCharType="separate"/>
      </w:r>
      <w:r w:rsidR="00770076" w:rsidRPr="00770076">
        <w:rPr>
          <w:rFonts w:asciiTheme="majorBidi" w:eastAsia="Calibri" w:hAnsiTheme="majorBidi" w:cstheme="majorBidi"/>
          <w:noProof/>
          <w:sz w:val="24"/>
          <w:szCs w:val="24"/>
          <w:lang w:bidi="fa-IR"/>
        </w:rPr>
        <w:t>[16,31]</w:t>
      </w:r>
      <w:r w:rsidR="0073523B" w:rsidRPr="00807368">
        <w:rPr>
          <w:rFonts w:asciiTheme="majorBidi" w:eastAsia="Calibri" w:hAnsiTheme="majorBidi" w:cstheme="majorBidi"/>
          <w:sz w:val="24"/>
          <w:szCs w:val="24"/>
          <w:lang w:bidi="fa-IR"/>
        </w:rPr>
        <w:fldChar w:fldCharType="end"/>
      </w:r>
      <w:r w:rsidRPr="00807368">
        <w:rPr>
          <w:rFonts w:asciiTheme="majorBidi" w:eastAsia="Calibri" w:hAnsiTheme="majorBidi" w:cstheme="majorBidi"/>
          <w:sz w:val="24"/>
          <w:szCs w:val="24"/>
          <w:lang w:bidi="fa-IR"/>
        </w:rPr>
        <w:t>. Human culture studies have shown that the main source of IGF-II is microglia.</w:t>
      </w:r>
      <w:r w:rsidRPr="00807368">
        <w:rPr>
          <w:rFonts w:asciiTheme="majorBidi" w:hAnsiTheme="majorBidi" w:cstheme="majorBidi"/>
          <w:sz w:val="24"/>
          <w:szCs w:val="24"/>
        </w:rPr>
        <w:t xml:space="preserve"> </w:t>
      </w:r>
      <w:r w:rsidRPr="00807368">
        <w:rPr>
          <w:rFonts w:asciiTheme="majorBidi" w:eastAsia="Calibri" w:hAnsiTheme="majorBidi" w:cstheme="majorBidi"/>
          <w:sz w:val="24"/>
          <w:szCs w:val="24"/>
          <w:lang w:bidi="fa-IR"/>
        </w:rPr>
        <w:t>In addition, IGF-II production has been shown to increase following the upregulation of inflammatory factors such as IL-4 and IL-13.</w:t>
      </w:r>
      <w:r w:rsidRPr="00807368">
        <w:rPr>
          <w:rFonts w:asciiTheme="majorBidi" w:hAnsiTheme="majorBidi" w:cstheme="majorBidi"/>
          <w:sz w:val="24"/>
          <w:szCs w:val="24"/>
        </w:rPr>
        <w:t xml:space="preserve"> </w:t>
      </w:r>
      <w:r w:rsidRPr="00807368">
        <w:rPr>
          <w:rFonts w:asciiTheme="majorBidi" w:eastAsia="Calibri" w:hAnsiTheme="majorBidi" w:cstheme="majorBidi"/>
          <w:sz w:val="24"/>
          <w:szCs w:val="24"/>
          <w:lang w:bidi="fa-IR"/>
        </w:rPr>
        <w:t xml:space="preserve">Increasing LPS in the cell culture also increases the production of IGF-II </w:t>
      </w:r>
      <w:r w:rsidR="0073523B" w:rsidRPr="00807368">
        <w:rPr>
          <w:rFonts w:asciiTheme="majorBidi" w:eastAsia="Calibri" w:hAnsiTheme="majorBidi" w:cstheme="majorBidi"/>
          <w:sz w:val="24"/>
          <w:szCs w:val="24"/>
          <w:lang w:bidi="fa-IR"/>
        </w:rPr>
        <w:fldChar w:fldCharType="begin" w:fldLock="1"/>
      </w:r>
      <w:r w:rsidR="00770076">
        <w:rPr>
          <w:rFonts w:asciiTheme="majorBidi" w:eastAsia="Calibri" w:hAnsiTheme="majorBidi" w:cstheme="majorBidi"/>
          <w:sz w:val="24"/>
          <w:szCs w:val="24"/>
          <w:lang w:bidi="fa-IR"/>
        </w:rPr>
        <w:instrText>ADDIN CSL_CITATION {"citationItems":[{"id":"ITEM-1","itemData":{"DOI":"10.1186/1742-2094-10-37","ISSN":"1742-2094","PMID":"23497056","abstract":"BACKGROUND Recent studies in experimental animals show that insulin-like growth factor 1 (IGF1) plays a trophic role during development and tissue injury and that microglia are important sources of IGF1. However, little information is available regarding the expression, regulation, and function of IGF1 and related proteins in human brain cells. In the current study, we examined the expression of IGF1 and IGF2 in human microglia in vivo and in vitro. METHODS Expression of IGF1 and IGF2 was examined by immunohistochemistry in post-mortem human brain sections derived from HIV+ and HIV- brains. In primary cultures of human fetal microglia, IGF1 and IGF2 mRNA and protein expression was examined by Q-PCR, ELISA, and Western blot analysis. Additionally, the role of IGF1 and IGF2 in neuroprotection was examined in primary human neuronal glial cultures. RESULTS Immunohistochemistry of human brain tissues showed that nonparenchymal cells (vessels and meninges), as well as parenchymal microglia and macrophages were positive for IGF1, in both HIV encephalitis and control brains, while IGF2 was undetectable. Cultured microglia expressed IGF1 mRNA and produced pg/ml levels of IGF1 protein; this was significantly suppressed by proinflammatory mediators, such as lipopolysaccharide (LPS), poly(I:C), and IFNγ. The Th2 cytokines IL-4 and IL-13 had no significant effect, but the cAMP analog (dibutyryl cAMP) significantly increased IGF1 production. In contrast, microglial IGF2 mRNA and protein (determined by Western blot) were upregulated by LPS. IGF1 receptor (IGF1R) immunoreactivity was predominantly expressed by neurons, and both IGF1 and IGF2 significantly protected neurons from cytokine (IL-1/IFNγ) induced death. CONCLUSIONS Our study in human brain tissues and cells indicates that microglia are important sources of neurotrophic growth factors IGF1 and IGF2, and that microglial activation phenotypes can influence the growth factor expression. Importantly, our results suggest that chronic neuroinflammation and upregulation of proinflammatory cytokines could lead to neurodegeneration by suppressing the production of microglia-derived neuronal growth factors, such as IGF1.","author":[{"dropping-particle":"","family":"Suh","given":"Hyeon-Sook","non-dropping-particle":"","parse-names":false,"suffix":""},{"dropping-particle":"","family":"Zhao","given":"Meng-Liang","non-dropping-particle":"","parse-names":false,"suffix":""},{"dropping-particle":"","family":"Derico","given":"Leandra","non-dropping-particle":"","parse-names":false,"suffix":""},{"dropping-particle":"","family":"Choi","given":"Namjong","non-dropping-particle":"","parse-names":false,"suffix":""},{"dropping-particle":"","family":"Lee","given":"Sunhee C","non-dropping-particle":"","parse-names":false,"suffix":""}],"container-title":"Journal of Neuroinflammation","id":"ITEM-1","issue":"1","issued":{"date-parts":[["2013","12","12"]]},"page":"805","title":"Insulin-like growth factor 1 and 2 (IGF1, IGF2) expression in human microglia: differential regulation by inflammatory mediators","type":"article-journal","volume":"10"},"uris":["http://www.mendeley.com/documents/?uuid=379132cb-0050-35ce-86e1-44108b493e11"]},{"id":"ITEM-2","itemData":{"ISSN":"0022-1767","PMID":"14500651","abstract":"Macrophage-derived insulin-like growth factor-I (IGF-I) has long been implicated in the pathogenesis of the interstitial lung disease, idiopathic pulmonary fibrosis, in part, by its ability to 1) stimulate the proliferation and survival of fibroblasts and myofibroblasts and 2) promote collagen matrix synthesis by these cells. However, little is known about the mechanisms that stimulate the expression of IGF-I by macrophages. Previous studies have shown that the development of pulmonary fibrosis is accompanied by enhanced expression of Th2-profile cytokines, especially IL-4, and diminished expression of Th1 cytokines, including IFN-gamma. In addition, in vitro studies have shown that IFN-gamma down-regulates the expression of IGF-I. Thus, the paucity of IFN-gamma in the fibrotic lung may favor increased growth factor production by allowing Th2 cytokines to predominate. In view of these findings, we investigated the hypothesis that Th2 cytokines stimulate the expression of IGF-I by macrophages. Incubation with IL-4 or IL-13 led to concentration- and time-dependent increases in the expression of IGF-I mRNA and the secretion of IGF-I protein by mouse macrophages as a consequence of increased transcription of IGF-I pre-mRNA. Exposure of macrophages to IL-4 in the presence of IFN-gamma inhibited the increase in the expression of IGF-I. Studies using STAT6-deficient macrophages indicated that the increase in IGF-I expression was dependent on STAT6. In addition, the down-regulation of IGF-I expression by IFN-gamma was absent in STAT1-deficient macrophages. Collectively, these findings define a homeostatic mechanism in which Th2 cytokines promote, and Th1 cytokines inhibit, the expression of IGF-I by macrophages.","author":[{"dropping-particle":"","family":"Wynes","given":"Murry W","non-dropping-particle":"","parse-names":false,"suffix":""},{"dropping-particle":"","family":"Riches","given":"David W H","non-dropping-particle":"","parse-names":false,"suffix":""}],"container-title":"Journal of immunology (Baltimore, Md. : 1950)","id":"ITEM-2","issue":"7","issued":{"date-parts":[["2003","10","1"]]},"page":"3550-9","title":"Induction of macrophage insulin-like growth factor-I expression by the Th2 cytokines IL-4 and IL-13.","type":"article-journal","volume":"171"},"uris":["http://www.mendeley.com/documents/?uuid=f8ae632a-cea6-34b2-9956-9c805fe452d7"]},{"id":"ITEM-3","itemData":{"DOI":"10.1016/j.neuroscience.2005.12.025","ISSN":"03064522","PMID":"16448778","abstract":"Insulin-like growth factors I and II are known to regulate the development of the CNS. We examined the developmental changes in insulin-like growth factor I and insulin-like growth factor II expression in the postnatal rat corpus callosum. Insulin-like growth factor I and insulin-like growth factor II mRNA expression increased at 3 days as compared with 1 day whereas the protein expression increased up to 7 days. Insulin-like growth factor I and insulin-like growth factor II immunoexpression was specifically localized in round cells confirmed by double immunofluorescence with OX-42 to be the amoeboid microglial cells. Insulin-like growth factor I expression was observed up to 7 days in amoeboid microglial cells while insulin-like growth factor II expression was detected in 1-3 day old rats. Exposure of primary rat microglial cell cultures to lipopolysaccharide increased insulin-like growth factor I and insulin-like growth factor II mRNA and protein expression significantly along with their immunoexpression in microglial cells. The lipopolysaccharide-induced increase in insulin-like growth factor I and insulin-like growth factor II mRNA and protein expression was significantly decreased with all-trans-retinoic acid. We conclude that insulin-like growth factor I and insulin-like growth factor II expression in amoeboid microglial cells in the developing brain is related to their activation. Once the activation is inhibited, either by transformation of the amoeboid microglial cells into ramified microglia regarded as resting cells or as shown by the effect of all-trans-retinoic acid administration, insulin-like growth factor I and insulin-like growth factor II mRNA and protein expression is downregulated.","author":[{"dropping-particle":"","family":"Kaur","given":"C.","non-dropping-particle":"","parse-names":false,"suffix":""},{"dropping-particle":"","family":"Sivakumar","given":"V.","non-dropping-particle":"","parse-names":false,"suffix":""},{"dropping-particle":"","family":"Dheen","given":"S.T.","non-dropping-particle":"","parse-names":false,"suffix":""},{"dropping-particle":"","family":"Ling","given":"E.A.","non-dropping-particle":"","parse-names":false,"suffix":""}],"container-title":"Neuroscience","id":"ITEM-3","issue":"4","issued":{"date-parts":[["2006","1"]]},"page":"1233-1244","title":"Insulin-like growth factor I and II expression and modulation in amoeboid microglial cells by lipopolysaccharide and retinoic acid","type":"article-journal","volume":"138"},"uris":["http://www.mendeley.com/documents/?uuid=1a7083ff-e1b1-3856-bd3f-f0af9c957888"]}],"mendeley":{"formattedCitation":"[16,32,33]","plainTextFormattedCitation":"[16,32,33]","previouslyFormattedCitation":"(16,32,33)"},"properties":{"noteIndex":0},"schema":"https://github.com/citation-style-language/schema/raw/master/csl-citation.json"}</w:instrText>
      </w:r>
      <w:r w:rsidR="0073523B" w:rsidRPr="00807368">
        <w:rPr>
          <w:rFonts w:asciiTheme="majorBidi" w:eastAsia="Calibri" w:hAnsiTheme="majorBidi" w:cstheme="majorBidi"/>
          <w:sz w:val="24"/>
          <w:szCs w:val="24"/>
          <w:lang w:bidi="fa-IR"/>
        </w:rPr>
        <w:fldChar w:fldCharType="separate"/>
      </w:r>
      <w:r w:rsidR="00770076" w:rsidRPr="00770076">
        <w:rPr>
          <w:rFonts w:asciiTheme="majorBidi" w:eastAsia="Calibri" w:hAnsiTheme="majorBidi" w:cstheme="majorBidi"/>
          <w:noProof/>
          <w:sz w:val="24"/>
          <w:szCs w:val="24"/>
          <w:lang w:bidi="fa-IR"/>
        </w:rPr>
        <w:t>[16,32,33]</w:t>
      </w:r>
      <w:r w:rsidR="0073523B" w:rsidRPr="00807368">
        <w:rPr>
          <w:rFonts w:asciiTheme="majorBidi" w:eastAsia="Calibri" w:hAnsiTheme="majorBidi" w:cstheme="majorBidi"/>
          <w:sz w:val="24"/>
          <w:szCs w:val="24"/>
          <w:lang w:bidi="fa-IR"/>
        </w:rPr>
        <w:fldChar w:fldCharType="end"/>
      </w:r>
      <w:r w:rsidRPr="00807368">
        <w:rPr>
          <w:rFonts w:asciiTheme="majorBidi" w:eastAsia="Calibri" w:hAnsiTheme="majorBidi" w:cstheme="majorBidi"/>
          <w:sz w:val="24"/>
          <w:szCs w:val="24"/>
          <w:lang w:bidi="fa-IR"/>
        </w:rPr>
        <w:t>. In this study, neurological deficit score (NDS), which did not show any significant changes between the groups.</w:t>
      </w:r>
      <w:r w:rsidRPr="00807368">
        <w:rPr>
          <w:rFonts w:asciiTheme="majorBidi" w:hAnsiTheme="majorBidi" w:cstheme="majorBidi"/>
          <w:sz w:val="24"/>
          <w:szCs w:val="24"/>
        </w:rPr>
        <w:t xml:space="preserve"> </w:t>
      </w:r>
      <w:r w:rsidRPr="00807368">
        <w:rPr>
          <w:rFonts w:asciiTheme="majorBidi" w:eastAsia="Calibri" w:hAnsiTheme="majorBidi" w:cstheme="majorBidi"/>
          <w:sz w:val="24"/>
          <w:szCs w:val="24"/>
          <w:lang w:bidi="fa-IR"/>
        </w:rPr>
        <w:t>It is likely that the inflammatory factors have changed, but this difference has not been sufficient to have an effect on the NDS.</w:t>
      </w:r>
    </w:p>
    <w:p w:rsidR="004174D7" w:rsidRPr="00807368" w:rsidRDefault="004174D7" w:rsidP="0026621C">
      <w:pPr>
        <w:spacing w:line="276" w:lineRule="auto"/>
        <w:jc w:val="both"/>
        <w:rPr>
          <w:rFonts w:asciiTheme="majorBidi" w:eastAsia="Calibri" w:hAnsiTheme="majorBidi" w:cstheme="majorBidi"/>
          <w:sz w:val="24"/>
          <w:szCs w:val="24"/>
          <w:rtl/>
          <w:lang w:bidi="fa-IR"/>
        </w:rPr>
      </w:pPr>
      <w:r w:rsidRPr="00807368">
        <w:rPr>
          <w:rFonts w:asciiTheme="majorBidi" w:eastAsia="Calibri" w:hAnsiTheme="majorBidi" w:cstheme="majorBidi"/>
          <w:sz w:val="24"/>
          <w:szCs w:val="24"/>
          <w:lang w:bidi="fa-IR"/>
        </w:rPr>
        <w:t>The IGF-II co</w:t>
      </w:r>
      <w:r w:rsidR="00E2248D" w:rsidRPr="00807368">
        <w:rPr>
          <w:rFonts w:asciiTheme="majorBidi" w:eastAsia="Calibri" w:hAnsiTheme="majorBidi" w:cstheme="majorBidi"/>
          <w:sz w:val="24"/>
          <w:szCs w:val="24"/>
          <w:lang w:bidi="fa-IR"/>
        </w:rPr>
        <w:t>nnection to its receptor</w:t>
      </w:r>
      <w:r w:rsidR="00CE5A79" w:rsidRPr="00807368">
        <w:rPr>
          <w:rFonts w:asciiTheme="majorBidi" w:eastAsia="Calibri" w:hAnsiTheme="majorBidi" w:cstheme="majorBidi"/>
          <w:sz w:val="24"/>
          <w:szCs w:val="24"/>
          <w:lang w:bidi="fa-IR"/>
        </w:rPr>
        <w:t xml:space="preserve"> </w:t>
      </w:r>
      <w:r w:rsidRPr="00807368">
        <w:rPr>
          <w:rFonts w:asciiTheme="majorBidi" w:eastAsia="Calibri" w:hAnsiTheme="majorBidi" w:cstheme="majorBidi"/>
          <w:sz w:val="24"/>
          <w:szCs w:val="24"/>
          <w:lang w:bidi="fa-IR"/>
        </w:rPr>
        <w:t>activate</w:t>
      </w:r>
      <w:r w:rsidR="00E2248D" w:rsidRPr="00807368">
        <w:rPr>
          <w:rFonts w:asciiTheme="majorBidi" w:eastAsia="Calibri" w:hAnsiTheme="majorBidi" w:cstheme="majorBidi"/>
          <w:sz w:val="24"/>
          <w:szCs w:val="24"/>
          <w:lang w:bidi="fa-IR"/>
        </w:rPr>
        <w:t>s</w:t>
      </w:r>
      <w:r w:rsidRPr="00807368">
        <w:rPr>
          <w:rFonts w:asciiTheme="majorBidi" w:eastAsia="Calibri" w:hAnsiTheme="majorBidi" w:cstheme="majorBidi"/>
          <w:sz w:val="24"/>
          <w:szCs w:val="24"/>
          <w:lang w:bidi="fa-IR"/>
        </w:rPr>
        <w:t xml:space="preserve"> the downstream PI3K/Akt pathway, this pathway affects the growth and survival of neurons.</w:t>
      </w:r>
      <w:r w:rsidRPr="00807368">
        <w:rPr>
          <w:rFonts w:asciiTheme="majorBidi" w:hAnsiTheme="majorBidi" w:cstheme="majorBidi"/>
          <w:sz w:val="24"/>
          <w:szCs w:val="24"/>
        </w:rPr>
        <w:t xml:space="preserve"> </w:t>
      </w:r>
      <w:r w:rsidRPr="00807368">
        <w:rPr>
          <w:rFonts w:asciiTheme="majorBidi" w:eastAsia="Calibri" w:hAnsiTheme="majorBidi" w:cstheme="majorBidi"/>
          <w:sz w:val="24"/>
          <w:szCs w:val="24"/>
          <w:lang w:bidi="fa-IR"/>
        </w:rPr>
        <w:t xml:space="preserve">In addition, IGF-II induces an upregulated C/EBPβ </w:t>
      </w:r>
      <w:r w:rsidRPr="00807368">
        <w:rPr>
          <w:rFonts w:asciiTheme="majorBidi" w:eastAsia="Calibri" w:hAnsiTheme="majorBidi" w:cstheme="majorBidi"/>
          <w:sz w:val="24"/>
          <w:szCs w:val="24"/>
          <w:lang w:bidi="fa-IR"/>
        </w:rPr>
        <w:lastRenderedPageBreak/>
        <w:t>target gene, which plays a key role in memory stability.</w:t>
      </w:r>
      <w:r w:rsidRPr="00807368">
        <w:rPr>
          <w:rFonts w:asciiTheme="majorBidi" w:hAnsiTheme="majorBidi" w:cstheme="majorBidi"/>
          <w:sz w:val="24"/>
          <w:szCs w:val="24"/>
        </w:rPr>
        <w:t xml:space="preserve"> </w:t>
      </w:r>
      <w:r w:rsidRPr="00807368">
        <w:rPr>
          <w:rFonts w:asciiTheme="majorBidi" w:eastAsia="Calibri" w:hAnsiTheme="majorBidi" w:cstheme="majorBidi"/>
          <w:sz w:val="24"/>
          <w:szCs w:val="24"/>
          <w:lang w:bidi="fa-IR"/>
        </w:rPr>
        <w:t xml:space="preserve">Studies have shown that training increases the release of IGF-II, and this increase persists for up to 4 days after training </w:t>
      </w:r>
      <w:r w:rsidR="0073523B" w:rsidRPr="00807368">
        <w:rPr>
          <w:rFonts w:asciiTheme="majorBidi" w:eastAsia="Calibri" w:hAnsiTheme="majorBidi" w:cstheme="majorBidi"/>
          <w:sz w:val="24"/>
          <w:szCs w:val="24"/>
          <w:lang w:bidi="fa-IR"/>
        </w:rPr>
        <w:fldChar w:fldCharType="begin" w:fldLock="1"/>
      </w:r>
      <w:r w:rsidR="00770076">
        <w:rPr>
          <w:rFonts w:asciiTheme="majorBidi" w:eastAsia="Calibri" w:hAnsiTheme="majorBidi" w:cstheme="majorBidi"/>
          <w:sz w:val="24"/>
          <w:szCs w:val="24"/>
          <w:lang w:bidi="fa-IR"/>
        </w:rPr>
        <w:instrText>ADDIN CSL_CITATION {"citationItems":[{"id":"ITEM-1","itemData":{"DOI":"10.1038/npp.2014.69","ISBN":"1740-634X (Electronic)\\r0006-3223 (Linking)","ISSN":"1740634X","PMID":"24642597","abstract":"To treat cognitive disorders in humans, new effective therapies that can be easily delivered systemically are needed. Previous studies showed that a bilateral injection of insulin-like growth factor II (IGF-II) into the dorsal hippocampus of rats or mice enhances fear memories and facilitates fear extinction. Here, we report that, in mice, systemic treatments with IGF-II given before training significantly enhance the retention and persistence of several types of working, short-term and long-term memories, including fear conditioning, object recognition, object placement, social recognition, and spatial reference memory. IGF-II-mediated memory enhancement does not alter memory flexibility or the ability for new learning and also occurs when IGF-II treatment is given in concert with memory retrieval. Thus IGF-II may represent a potentially important and effective treatment for enhancing human cognitive and executive functions.","author":[{"dropping-particle":"","family":"Stern","given":"Sarah A","non-dropping-particle":"","parse-names":false,"suffix":""},{"dropping-particle":"","family":"Kohtz","given":"Amy S","non-dropping-particle":"","parse-names":false,"suffix":""},{"dropping-particle":"","family":"Pollonini","given":"Gabriella","non-dropping-particle":"","parse-names":false,"suffix":""},{"dropping-particle":"","family":"Alberini","given":"Cristina M","non-dropping-particle":"","parse-names":false,"suffix":""}],"container-title":"Neuropsychopharmacology","id":"ITEM-1","issue":"9","issued":{"date-parts":[["2014","8","19"]]},"page":"2179-2190","title":"Enhancement of memories by systemic administration of insulin-like growth factor II","type":"article-journal","volume":"39"},"uris":["http://www.mendeley.com/documents/?uuid=3f601c5e-f8b0-3f65-8c2d-d13e3a7e3167"]},{"id":"ITEM-2","itemData":{"DOI":"10.1038/nature09667","ISBN":"1476-4687 (Electronic)\\r0028-0836 (Linking)","ISSN":"00280836","PMID":"21270887","abstract":"We report that, in the rat, administering insulin-like growth factor II (IGF-II, also known as IGF2) significantly enhances memory retention and prevents forgetting. Inhibitory avoidance learning leads to an increase in hippocampal expression of IGF-II, which requires the transcription factor CCAAT enhancer binding protein β and is essential for memory consolidation. Furthermore, injections of recombinant IGF-II into the hippocampus after either training or memory retrieval significantly enhance memory retention and prevent forgetting. To be effective, IGF-II needs to be administered within a sensitive period of memory consolidation. IGF-II-dependent memory enhancement requires IGF-II receptors, new protein synthesis, the function of activity-regulated cytoskeletal-associated protein and glycogen-synthase kinase 3 (GSK3). Moreover, it correlates with a significant activation of synaptic GSK3β and increased expression of GluR1 (also known as GRIA1) α-amino-3-hydroxy-5-methyl-4-isoxasolepropionic acid receptor subunits. In hippocampal slices, IGF-II promotes IGF-II receptor-dependent, persistent long-term potentiation after weak synaptic stimulation. Thus, IGF-II may represent a novel target for cognitive enhancement therapies.","author":[{"dropping-particle":"","family":"Chen","given":"Dillon Y.","non-dropping-particle":"","parse-names":false,"suffix":""},{"dropping-particle":"","family":"Stern","given":"Sarah A.","non-dropping-particle":"","parse-names":false,"suffix":""},{"dropping-particle":"","family":"Garcia-Osta","given":"Ana","non-dropping-particle":"","parse-names":false,"suffix":""},{"dropping-particle":"","family":"Saunier-Rebori","given":"Bernadette","non-dropping-particle":"","parse-names":false,"suffix":""},{"dropping-particle":"","family":"Pollonini","given":"Gabriella","non-dropping-particle":"","parse-names":false,"suffix":""},{"dropping-particle":"","family":"Bambah-Mukku","given":"Dhananjay","non-dropping-particle":"","parse-names":false,"suffix":""},{"dropping-particle":"","family":"Blitzer","given":"Robert D.","non-dropping-particle":"","parse-names":false,"suffix":""},{"dropping-particle":"","family":"Alberini","given":"Cristina M.file:///C:/Users/farzaneh/Desktop/A critical role for IGF-II in memory consolidation and enhancement.pdf","non-dropping-particle":"","parse-names":false,"suffix":""}],"container-title":"Nature","id":"ITEM-2","issue":"7331","issued":{"date-parts":[["2011","1","27"]]},"page":"491-499","title":"A critical role for IGF-II in memory consolidation and enhancement","type":"article-journal","volume":"469"},"uris":["http://www.mendeley.com/documents/?uuid=54f82370-704b-3b52-bfae-4e999751fe56"]},{"id":"ITEM-3","itemData":{"DOI":"10.1038/35044580","ISSN":"1471-003X","PMID":"11257912","abstract":"'Consolidation' has been used to describe distinct but related processes. In considering the implications of our recent findings on the lability of reactivated fear memories, we view consolidation and reconsolidation in terms of molecular events taking place within neurons as opposed to interactions between brain regions. Our findings open up a new dimension in the study of memory consolidation. We argue that consolidation is not a one-time event, but instead is reiterated with subsequent activation of the memories.","author":[{"dropping-particle":"","family":"Nader","given":"Karim","non-dropping-particle":"","parse-names":false,"suffix":""},{"dropping-particle":"","family":"Schafe","given":"Glenn E.","non-dropping-particle":"","parse-names":false,"suffix":""},{"dropping-particle":"","family":"LeDoux","given":"Joseph E.","non-dropping-particle":"","parse-names":false,"suffix":""}],"container-title":"Nature Reviews Neuroscience","id":"ITEM-3","issue":"3","issued":{"date-parts":[["2000","12","1"]]},"page":"216-219","title":"The labile nature of consolidation theory","type":"article-journal","volume":"1"},"uris":["http://www.mendeley.com/documents/?uuid=f3a4dd64-efc1-379c-a237-2d695ca50947"]}],"mendeley":{"formattedCitation":"[1,10,34]","plainTextFormattedCitation":"[1,10,34]","previouslyFormattedCitation":"(1,10,34)"},"properties":{"noteIndex":0},"schema":"https://github.com/citation-style-language/schema/raw/master/csl-citation.json"}</w:instrText>
      </w:r>
      <w:r w:rsidR="0073523B" w:rsidRPr="00807368">
        <w:rPr>
          <w:rFonts w:asciiTheme="majorBidi" w:eastAsia="Calibri" w:hAnsiTheme="majorBidi" w:cstheme="majorBidi"/>
          <w:sz w:val="24"/>
          <w:szCs w:val="24"/>
          <w:lang w:bidi="fa-IR"/>
        </w:rPr>
        <w:fldChar w:fldCharType="separate"/>
      </w:r>
      <w:r w:rsidR="00770076" w:rsidRPr="00770076">
        <w:rPr>
          <w:rFonts w:asciiTheme="majorBidi" w:eastAsia="Calibri" w:hAnsiTheme="majorBidi" w:cstheme="majorBidi"/>
          <w:noProof/>
          <w:sz w:val="24"/>
          <w:szCs w:val="24"/>
          <w:lang w:bidi="fa-IR"/>
        </w:rPr>
        <w:t>[1,10,34]</w:t>
      </w:r>
      <w:r w:rsidR="0073523B" w:rsidRPr="00807368">
        <w:rPr>
          <w:rFonts w:asciiTheme="majorBidi" w:eastAsia="Calibri" w:hAnsiTheme="majorBidi" w:cstheme="majorBidi"/>
          <w:sz w:val="24"/>
          <w:szCs w:val="24"/>
          <w:lang w:bidi="fa-IR"/>
        </w:rPr>
        <w:fldChar w:fldCharType="end"/>
      </w:r>
      <w:r w:rsidRPr="00807368">
        <w:rPr>
          <w:rFonts w:asciiTheme="majorBidi" w:eastAsia="Calibri" w:hAnsiTheme="majorBidi" w:cstheme="majorBidi"/>
          <w:sz w:val="24"/>
          <w:szCs w:val="24"/>
          <w:lang w:bidi="fa-IR"/>
        </w:rPr>
        <w:t>. IGF-II plays a key role in hippocampal-depe</w:t>
      </w:r>
      <w:r w:rsidR="00E2248D" w:rsidRPr="00807368">
        <w:rPr>
          <w:rFonts w:asciiTheme="majorBidi" w:eastAsia="Calibri" w:hAnsiTheme="majorBidi" w:cstheme="majorBidi"/>
          <w:sz w:val="24"/>
          <w:szCs w:val="24"/>
          <w:lang w:bidi="fa-IR"/>
        </w:rPr>
        <w:t>ndent memories, another</w:t>
      </w:r>
      <w:r w:rsidRPr="00807368">
        <w:rPr>
          <w:rFonts w:asciiTheme="majorBidi" w:eastAsia="Calibri" w:hAnsiTheme="majorBidi" w:cstheme="majorBidi"/>
          <w:sz w:val="24"/>
          <w:szCs w:val="24"/>
          <w:lang w:bidi="fa-IR"/>
        </w:rPr>
        <w:t xml:space="preserve"> reasons for the effectiv</w:t>
      </w:r>
      <w:r w:rsidR="00E2248D" w:rsidRPr="00807368">
        <w:rPr>
          <w:rFonts w:asciiTheme="majorBidi" w:eastAsia="Calibri" w:hAnsiTheme="majorBidi" w:cstheme="majorBidi"/>
          <w:sz w:val="24"/>
          <w:szCs w:val="24"/>
          <w:lang w:bidi="fa-IR"/>
        </w:rPr>
        <w:t>eness of IGF-II in the memory</w:t>
      </w:r>
      <w:r w:rsidRPr="00807368">
        <w:rPr>
          <w:rFonts w:asciiTheme="majorBidi" w:eastAsia="Calibri" w:hAnsiTheme="majorBidi" w:cstheme="majorBidi"/>
          <w:sz w:val="24"/>
          <w:szCs w:val="24"/>
          <w:lang w:bidi="fa-IR"/>
        </w:rPr>
        <w:t xml:space="preserve"> </w:t>
      </w:r>
      <w:r w:rsidR="00E2248D" w:rsidRPr="00807368">
        <w:rPr>
          <w:rFonts w:asciiTheme="majorBidi" w:eastAsia="Calibri" w:hAnsiTheme="majorBidi" w:cstheme="majorBidi"/>
          <w:sz w:val="24"/>
          <w:szCs w:val="24"/>
          <w:lang w:bidi="fa-IR"/>
        </w:rPr>
        <w:t>enhancement</w:t>
      </w:r>
      <w:r w:rsidRPr="00807368">
        <w:rPr>
          <w:rFonts w:asciiTheme="majorBidi" w:eastAsia="Calibri" w:hAnsiTheme="majorBidi" w:cstheme="majorBidi"/>
          <w:sz w:val="24"/>
          <w:szCs w:val="24"/>
          <w:lang w:bidi="fa-IR"/>
        </w:rPr>
        <w:t xml:space="preserve"> </w:t>
      </w:r>
      <w:r w:rsidR="00E2248D" w:rsidRPr="00807368">
        <w:rPr>
          <w:rFonts w:asciiTheme="majorBidi" w:eastAsia="Calibri" w:hAnsiTheme="majorBidi" w:cstheme="majorBidi"/>
          <w:sz w:val="24"/>
          <w:szCs w:val="24"/>
          <w:lang w:bidi="fa-IR"/>
        </w:rPr>
        <w:t xml:space="preserve">is </w:t>
      </w:r>
      <w:r w:rsidRPr="00807368">
        <w:rPr>
          <w:rFonts w:asciiTheme="majorBidi" w:eastAsia="Calibri" w:hAnsiTheme="majorBidi" w:cstheme="majorBidi"/>
          <w:sz w:val="24"/>
          <w:szCs w:val="24"/>
          <w:lang w:bidi="fa-IR"/>
        </w:rPr>
        <w:t>the expression of activity-regulat</w:t>
      </w:r>
      <w:r w:rsidR="00E2248D" w:rsidRPr="00807368">
        <w:rPr>
          <w:rFonts w:asciiTheme="majorBidi" w:eastAsia="Calibri" w:hAnsiTheme="majorBidi" w:cstheme="majorBidi"/>
          <w:sz w:val="24"/>
          <w:szCs w:val="24"/>
          <w:lang w:bidi="fa-IR"/>
        </w:rPr>
        <w:t>ed cytoskeletal protein (Arc)</w:t>
      </w:r>
      <w:r w:rsidRPr="00807368">
        <w:rPr>
          <w:rFonts w:asciiTheme="majorBidi" w:eastAsia="Calibri" w:hAnsiTheme="majorBidi" w:cstheme="majorBidi"/>
          <w:sz w:val="24"/>
          <w:szCs w:val="24"/>
          <w:lang w:bidi="fa-IR"/>
        </w:rPr>
        <w:t xml:space="preserve"> following the activity of the IGF-II receptor.</w:t>
      </w:r>
      <w:r w:rsidRPr="00807368">
        <w:rPr>
          <w:rFonts w:asciiTheme="majorBidi" w:hAnsiTheme="majorBidi" w:cstheme="majorBidi"/>
          <w:sz w:val="24"/>
          <w:szCs w:val="24"/>
        </w:rPr>
        <w:t xml:space="preserve"> </w:t>
      </w:r>
      <w:r w:rsidR="00834DD1" w:rsidRPr="00807368">
        <w:rPr>
          <w:rFonts w:asciiTheme="majorBidi" w:eastAsia="Calibri" w:hAnsiTheme="majorBidi" w:cstheme="majorBidi"/>
          <w:sz w:val="24"/>
          <w:szCs w:val="24"/>
          <w:lang w:bidi="fa-IR"/>
        </w:rPr>
        <w:t xml:space="preserve">Arc – a protein with an important role in learning and memory-related molecular process- </w:t>
      </w:r>
      <w:r w:rsidRPr="00807368">
        <w:rPr>
          <w:rFonts w:asciiTheme="majorBidi" w:eastAsia="Calibri" w:hAnsiTheme="majorBidi" w:cstheme="majorBidi"/>
          <w:sz w:val="24"/>
          <w:szCs w:val="24"/>
          <w:lang w:bidi="fa-IR"/>
        </w:rPr>
        <w:t>was in</w:t>
      </w:r>
      <w:r w:rsidR="00834DD1" w:rsidRPr="00807368">
        <w:rPr>
          <w:rFonts w:asciiTheme="majorBidi" w:eastAsia="Calibri" w:hAnsiTheme="majorBidi" w:cstheme="majorBidi"/>
          <w:sz w:val="24"/>
          <w:szCs w:val="24"/>
          <w:lang w:bidi="fa-IR"/>
        </w:rPr>
        <w:t>duced by synaptic activity</w:t>
      </w:r>
      <w:r w:rsidR="0073523B" w:rsidRPr="00807368">
        <w:rPr>
          <w:rFonts w:asciiTheme="majorBidi" w:eastAsia="Calibri" w:hAnsiTheme="majorBidi" w:cstheme="majorBidi"/>
          <w:sz w:val="24"/>
          <w:szCs w:val="24"/>
          <w:lang w:bidi="fa-IR"/>
        </w:rPr>
        <w:fldChar w:fldCharType="begin" w:fldLock="1"/>
      </w:r>
      <w:r w:rsidR="00770076">
        <w:rPr>
          <w:rFonts w:asciiTheme="majorBidi" w:eastAsia="Calibri" w:hAnsiTheme="majorBidi" w:cstheme="majorBidi"/>
          <w:sz w:val="24"/>
          <w:szCs w:val="24"/>
          <w:lang w:bidi="fa-IR"/>
        </w:rPr>
        <w:instrText>ADDIN CSL_CITATION {"citationItems":[{"id":"ITEM-1","itemData":{"DOI":"10.1038/nature09667","ISBN":"1476-4687 (Electronic)\\r0028-0836 (Linking)","ISSN":"00280836","PMID":"21270887","abstract":"We report that, in the rat, administering insulin-like growth factor II (IGF-II, also known as IGF2) significantly enhances memory retention and prevents forgetting. Inhibitory avoidance learning leads to an increase in hippocampal expression of IGF-II, which requires the transcription factor CCAAT enhancer binding protein β and is essential for memory consolidation. Furthermore, injections of recombinant IGF-II into the hippocampus after either training or memory retrieval significantly enhance memory retention and prevent forgetting. To be effective, IGF-II needs to be administered within a sensitive period of memory consolidation. IGF-II-dependent memory enhancement requires IGF-II receptors, new protein synthesis, the function of activity-regulated cytoskeletal-associated protein and glycogen-synthase kinase 3 (GSK3). Moreover, it correlates with a significant activation of synaptic GSK3β and increased expression of GluR1 (also known as GRIA1) α-amino-3-hydroxy-5-methyl-4-isoxasolepropionic acid receptor subunits. In hippocampal slices, IGF-II promotes IGF-II receptor-dependent, persistent long-term potentiation after weak synaptic stimulation. Thus, IGF-II may represent a novel target for cognitive enhancement therapies.","author":[{"dropping-particle":"","family":"Chen","given":"Dillon Y.","non-dropping-particle":"","parse-names":false,"suffix":""},{"dropping-particle":"","family":"Stern","given":"Sarah A.","non-dropping-particle":"","parse-names":false,"suffix":""},{"dropping-particle":"","family":"Garcia-Osta","given":"Ana","non-dropping-particle":"","parse-names":false,"suffix":""},{"dropping-particle":"","family":"Saunier-Rebori","given":"Bernadette","non-dropping-particle":"","parse-names":false,"suffix":""},{"dropping-particle":"","family":"Pollonini","given":"Gabriella","non-dropping-particle":"","parse-names":false,"suffix":""},{"dropping-particle":"","family":"Bambah-Mukku","given":"Dhananjay","non-dropping-particle":"","parse-names":false,"suffix":""},{"dropping-particle":"","family":"Blitzer","given":"Robert D.","non-dropping-particle":"","parse-names":false,"suffix":""},{"dropping-particle":"","family":"Alberini","given":"Cristina M.file:///C:/Users/farzaneh/Desktop/A critical role for IGF-II in memory consolidation and enhancement.pdf","non-dropping-particle":"","parse-names":false,"suffix":""}],"container-title":"Nature","id":"ITEM-1","issue":"7331","issued":{"date-parts":[["2011","1","27"]]},"page":"491-499","title":"A critical role for IGF-II in memory consolidation and enhancement","type":"article-journal","volume":"469"},"uris":["http://www.mendeley.com/documents/?uuid=54f82370-704b-3b52-bfae-4e999751fe56"]},{"id":"ITEM-2","itemData":{"DOI":"10.1007/s00221-009-1959-2","ISSN":"1432-1106","PMID":"19690847","abstract":"The immediate early gene Arc is emerging as a versatile, finely tuned system capable of coupling changes in neuronal activity patterns to synaptic plasticity, thereby optimizing information storage in the nervous system. Here, we attempt to overview the Arc system spanning from transcriptional regulation of the Arc gene, to dendritic transport, metabolism, and translation of Arc mRNA, to post-translational modification, localization, and degradation of Arc protein. Within this framework we discuss the function of Arc in regulation of actin cytoskeletal dynamics underlying consolidation of long-term potentiation (LTP) and regulation of AMPA-type glutamate receptor endocytosis underlying long-term depression (LTD) and homeostatic plasticity. Behaviorally, Arc has a key role in consolidation of explicit and implicit forms of memory, with recent work implicating Arc in adaptation to stress as well as maladaptive plasticity connected to drug addiction. Arc holds considerable promise as a \"master regulator\" of protein synthesis-dependent forms of synaptic plasticity, but the mechanisms that modulate and switch Arc function are only beginning to be elucidated.","author":[{"dropping-particle":"","family":"Bramham","given":"Clive R","non-dropping-particle":"","parse-names":false,"suffix":""},{"dropping-particle":"","family":"Alme","given":"Maria N","non-dropping-particle":"","parse-names":false,"suffix":""},{"dropping-particle":"","family":"Bittins","given":"Margarethe","non-dropping-particle":"","parse-names":false,"suffix":""},{"dropping-particle":"","family":"Kuipers","given":"Sjoukje D","non-dropping-particle":"","parse-names":false,"suffix":""},{"dropping-particle":"","family":"Nair","given":"Rajeevkumar R","non-dropping-particle":"","parse-names":false,"suffix":""},{"dropping-particle":"","family":"Pai","given":"Balagopal","non-dropping-particle":"","parse-names":false,"suffix":""},{"dropping-particle":"","family":"Panja","given":"Debabrata","non-dropping-particle":"","parse-names":false,"suffix":""},{"dropping-particle":"","family":"Schubert","given":"Manja","non-dropping-particle":"","parse-names":false,"suffix":""},{"dropping-particle":"","family":"Soule","given":"Jonathan","non-dropping-particle":"","parse-names":false,"suffix":""},{"dropping-particle":"","family":"Tiron","given":"Adrian","non-dropping-particle":"","parse-names":false,"suffix":""},{"dropping-particle":"","family":"Wibrand","given":"Karin","non-dropping-particle":"","parse-names":false,"suffix":""}],"container-title":"Experimental brain research","id":"ITEM-2","issue":"2","issued":{"date-parts":[["2010","1"]]},"page":"125-40","publisher":"Springer","title":"The Arc of synaptic memory.","type":"article-journal","volume":"200"},"uris":["http://www.mendeley.com/documents/?uuid=55d4ed5b-7fc8-3a6f-82b0-356d69a758ff"]}],"mendeley":{"formattedCitation":"[10,35]","plainTextFormattedCitation":"[10,35]","previouslyFormattedCitation":"(10,35)"},"properties":{"noteIndex":0},"schema":"https://github.com/citation-style-language/schema/raw/master/csl-citation.json"}</w:instrText>
      </w:r>
      <w:r w:rsidR="0073523B" w:rsidRPr="00807368">
        <w:rPr>
          <w:rFonts w:asciiTheme="majorBidi" w:eastAsia="Calibri" w:hAnsiTheme="majorBidi" w:cstheme="majorBidi"/>
          <w:sz w:val="24"/>
          <w:szCs w:val="24"/>
          <w:lang w:bidi="fa-IR"/>
        </w:rPr>
        <w:fldChar w:fldCharType="separate"/>
      </w:r>
      <w:r w:rsidR="00770076" w:rsidRPr="00770076">
        <w:rPr>
          <w:rFonts w:asciiTheme="majorBidi" w:eastAsia="Calibri" w:hAnsiTheme="majorBidi" w:cstheme="majorBidi"/>
          <w:noProof/>
          <w:sz w:val="24"/>
          <w:szCs w:val="24"/>
          <w:lang w:bidi="fa-IR"/>
        </w:rPr>
        <w:t>[10,35]</w:t>
      </w:r>
      <w:r w:rsidR="0073523B" w:rsidRPr="00807368">
        <w:rPr>
          <w:rFonts w:asciiTheme="majorBidi" w:eastAsia="Calibri" w:hAnsiTheme="majorBidi" w:cstheme="majorBidi"/>
          <w:sz w:val="24"/>
          <w:szCs w:val="24"/>
          <w:lang w:bidi="fa-IR"/>
        </w:rPr>
        <w:fldChar w:fldCharType="end"/>
      </w:r>
      <w:r w:rsidRPr="00807368">
        <w:rPr>
          <w:rFonts w:asciiTheme="majorBidi" w:eastAsia="Calibri" w:hAnsiTheme="majorBidi" w:cstheme="majorBidi"/>
          <w:sz w:val="24"/>
          <w:szCs w:val="24"/>
          <w:lang w:bidi="fa-IR"/>
        </w:rPr>
        <w:t xml:space="preserve">. Our results showed that avoidance memory was significantly improved after single-dose administration of IGF-II. </w:t>
      </w:r>
      <w:r w:rsidR="0026621C" w:rsidRPr="00807368">
        <w:rPr>
          <w:rFonts w:asciiTheme="majorBidi" w:eastAsia="Calibri" w:hAnsiTheme="majorBidi" w:cstheme="majorBidi"/>
          <w:sz w:val="24"/>
          <w:szCs w:val="24"/>
          <w:lang w:bidi="fa-IR"/>
        </w:rPr>
        <w:t>Investigation</w:t>
      </w:r>
      <w:r w:rsidRPr="00807368">
        <w:rPr>
          <w:rFonts w:asciiTheme="majorBidi" w:eastAsia="Calibri" w:hAnsiTheme="majorBidi" w:cstheme="majorBidi"/>
          <w:sz w:val="24"/>
          <w:szCs w:val="24"/>
          <w:lang w:bidi="fa-IR"/>
        </w:rPr>
        <w:t xml:space="preserve"> memory in the NOR test did not show a significant change, but the trend was increasing.</w:t>
      </w:r>
      <w:r w:rsidRPr="00807368">
        <w:rPr>
          <w:rFonts w:asciiTheme="majorBidi" w:hAnsiTheme="majorBidi" w:cstheme="majorBidi"/>
          <w:sz w:val="24"/>
          <w:szCs w:val="24"/>
        </w:rPr>
        <w:t xml:space="preserve"> </w:t>
      </w:r>
      <w:r w:rsidR="00834DD1" w:rsidRPr="00807368">
        <w:rPr>
          <w:rFonts w:asciiTheme="majorBidi" w:eastAsia="Calibri" w:hAnsiTheme="majorBidi" w:cstheme="majorBidi"/>
          <w:sz w:val="24"/>
          <w:szCs w:val="24"/>
          <w:lang w:bidi="fa-IR"/>
        </w:rPr>
        <w:t xml:space="preserve">However, </w:t>
      </w:r>
      <w:r w:rsidRPr="00807368">
        <w:rPr>
          <w:rFonts w:asciiTheme="majorBidi" w:eastAsia="Calibri" w:hAnsiTheme="majorBidi" w:cstheme="majorBidi"/>
          <w:sz w:val="24"/>
          <w:szCs w:val="24"/>
          <w:lang w:bidi="fa-IR"/>
        </w:rPr>
        <w:t>both of these tests evaluate hippocampal-dependent memories,</w:t>
      </w:r>
      <w:r w:rsidRPr="00807368">
        <w:rPr>
          <w:rFonts w:asciiTheme="majorBidi" w:hAnsiTheme="majorBidi" w:cstheme="majorBidi"/>
          <w:sz w:val="24"/>
          <w:szCs w:val="24"/>
        </w:rPr>
        <w:t xml:space="preserve"> </w:t>
      </w:r>
      <w:r w:rsidRPr="00807368">
        <w:rPr>
          <w:rFonts w:asciiTheme="majorBidi" w:eastAsia="Calibri" w:hAnsiTheme="majorBidi" w:cstheme="majorBidi"/>
          <w:sz w:val="24"/>
          <w:szCs w:val="24"/>
          <w:lang w:bidi="fa-IR"/>
        </w:rPr>
        <w:t>there are differences in the retention, consolidation pathways between these tests</w:t>
      </w:r>
      <w:r w:rsidR="00834DD1" w:rsidRPr="00807368">
        <w:rPr>
          <w:rFonts w:asciiTheme="majorBidi" w:eastAsia="Calibri" w:hAnsiTheme="majorBidi" w:cstheme="majorBidi"/>
          <w:sz w:val="24"/>
          <w:szCs w:val="24"/>
          <w:lang w:bidi="fa-IR"/>
        </w:rPr>
        <w:t xml:space="preserve"> which can be suggested as a possible reason for our results</w:t>
      </w:r>
      <w:r w:rsidRPr="00807368">
        <w:rPr>
          <w:rFonts w:asciiTheme="majorBidi" w:eastAsia="Calibri" w:hAnsiTheme="majorBidi" w:cstheme="majorBidi"/>
          <w:sz w:val="24"/>
          <w:szCs w:val="24"/>
          <w:lang w:bidi="fa-IR"/>
        </w:rPr>
        <w:t xml:space="preserve">. </w:t>
      </w:r>
    </w:p>
    <w:p w:rsidR="004174D7" w:rsidRPr="00807368" w:rsidRDefault="004174D7" w:rsidP="00F879F5">
      <w:pPr>
        <w:spacing w:line="276" w:lineRule="auto"/>
        <w:jc w:val="both"/>
        <w:rPr>
          <w:rFonts w:asciiTheme="majorBidi" w:eastAsia="Calibri" w:hAnsiTheme="majorBidi" w:cstheme="majorBidi"/>
          <w:sz w:val="24"/>
          <w:szCs w:val="24"/>
          <w:lang w:bidi="fa-IR"/>
        </w:rPr>
      </w:pPr>
      <w:r w:rsidRPr="00807368">
        <w:rPr>
          <w:rFonts w:asciiTheme="majorBidi" w:eastAsia="Calibri" w:hAnsiTheme="majorBidi" w:cstheme="majorBidi"/>
          <w:sz w:val="24"/>
          <w:szCs w:val="24"/>
          <w:lang w:bidi="fa-IR"/>
        </w:rPr>
        <w:t xml:space="preserve">In addition, the activation of the CREB pathway following the performance of the IGF-II receptor </w:t>
      </w:r>
      <w:r w:rsidR="007324F2" w:rsidRPr="00807368">
        <w:rPr>
          <w:rFonts w:asciiTheme="majorBidi" w:eastAsia="Calibri" w:hAnsiTheme="majorBidi" w:cstheme="majorBidi"/>
          <w:sz w:val="24"/>
          <w:szCs w:val="24"/>
          <w:lang w:bidi="fa-IR"/>
        </w:rPr>
        <w:t xml:space="preserve">has been shown to be involved </w:t>
      </w:r>
      <w:r w:rsidRPr="00807368">
        <w:rPr>
          <w:rFonts w:asciiTheme="majorBidi" w:eastAsia="Calibri" w:hAnsiTheme="majorBidi" w:cstheme="majorBidi"/>
          <w:sz w:val="24"/>
          <w:szCs w:val="24"/>
          <w:lang w:bidi="fa-IR"/>
        </w:rPr>
        <w:t>in synaptic plasticity and memory formation.</w:t>
      </w:r>
      <w:r w:rsidRPr="00807368">
        <w:rPr>
          <w:rFonts w:asciiTheme="majorBidi" w:hAnsiTheme="majorBidi" w:cstheme="majorBidi"/>
          <w:sz w:val="24"/>
          <w:szCs w:val="24"/>
        </w:rPr>
        <w:t xml:space="preserve"> </w:t>
      </w:r>
      <w:r w:rsidRPr="00807368">
        <w:rPr>
          <w:rFonts w:asciiTheme="majorBidi" w:eastAsia="Calibri" w:hAnsiTheme="majorBidi" w:cstheme="majorBidi"/>
          <w:sz w:val="24"/>
          <w:szCs w:val="24"/>
          <w:lang w:bidi="fa-IR"/>
        </w:rPr>
        <w:t xml:space="preserve">The CREB-C/EBP cascade enhances the expression of the IGF-II gene and subsequently increases IGF-II levels in the environment </w:t>
      </w:r>
      <w:r w:rsidR="0073523B" w:rsidRPr="00807368">
        <w:rPr>
          <w:rFonts w:asciiTheme="majorBidi" w:eastAsia="Calibri" w:hAnsiTheme="majorBidi" w:cstheme="majorBidi"/>
          <w:sz w:val="24"/>
          <w:szCs w:val="24"/>
          <w:lang w:bidi="fa-IR"/>
        </w:rPr>
        <w:fldChar w:fldCharType="begin" w:fldLock="1"/>
      </w:r>
      <w:r w:rsidR="00770076">
        <w:rPr>
          <w:rFonts w:asciiTheme="majorBidi" w:eastAsia="Calibri" w:hAnsiTheme="majorBidi" w:cstheme="majorBidi"/>
          <w:sz w:val="24"/>
          <w:szCs w:val="24"/>
          <w:lang w:bidi="fa-IR"/>
        </w:rPr>
        <w:instrText>ADDIN CSL_CITATION {"citationItems":[{"id":"ITEM-1","itemData":{"ISSN":"0092-8674","PMID":"8137425","abstract":"The consolidation of long-term memory requires protein and mRNA synthesis. A similar requirement has been demonstrated for learning-related synaptic plasticity in the gill-withdrawal reflex of Aplysia. The monosynaptic component of this reflex can be reconstituted in vitro, where it undergoes both short- and long-term increases in synaptic strength in response to serotonin (5-HT), a neurotransmitter released during behavioral sensitization, a simple form of learning. As with sensitization, the long-term synaptic modification is characterized by a brief consolidation period during which gene expression is required. We find that during this phase, the transcription factor Aplysia CCAAT enhancer-binding protein (ApC/EBP) is induced rapidly by 5-HT and by cAMP, even in the presence of protein synthesis inhibitors. Blocking the function of ApC/EBP blocks long-term facilitation selectively without affecting the short-term process. These data indicate that cAMP-inducible immediate-early genes have an essential role in the consolidation of stable long-term synaptic plasticity in Aplysia.","author":[{"dropping-particle":"","family":"Alberini","given":"C M","non-dropping-particle":"","parse-names":false,"suffix":""},{"dropping-particle":"","family":"Ghirardi","given":"M","non-dropping-particle":"","parse-names":false,"suffix":""},{"dropping-particle":"","family":"Metz","given":"R","non-dropping-particle":"","parse-names":false,"suffix":""},{"dropping-particle":"","family":"Kandel","given":"E R","non-dropping-particle":"","parse-names":false,"suffix":""}],"container-title":"Cell","id":"ITEM-1","issue":"6","issued":{"date-parts":[["1994","3","25"]]},"page":"1099-114","title":"C/EBP is an immediate-early gene required for the consolidation of long-term facilitation in Aplysia.","type":"article-journal","volume":"76"},"uris":["http://www.mendeley.com/documents/?uuid=051c480c-ec81-3278-a326-f25fdba33869"]},{"id":"ITEM-2","itemData":{"DOI":"10.1016/j.tins.2011.12.007","ISSN":"1878-108X","PMID":"22341662","abstract":"Life and societies would change significantly if memory capacity or persistence in health and disease could be enhanced. It has been known for many years that memory can be improved and strengthened. Substances known to enhance memory include hormones, neurotransmitters, neuropeptides and metabolic substrates. Recently, attention has been given to identifying the molecular mechanisms and targets whereby memory enhancement can be achieved. One approach would be to target the physiological changes that are induced by learning and naturally required for memory strengthening via consolidation and reconsolidation. Here, we review approaches that boost memories by targeting the cAMP response element binding protein-CCAAT enhancer binding protein (CREB-C/EBP) pathway and/or its recently identified target gene insulin-like growth factor 2 (IGF2).","author":[{"dropping-particle":"","family":"Alberini","given":"Cristina M","non-dropping-particle":"","parse-names":false,"suffix":""},{"dropping-particle":"","family":"Chen","given":"Dillon Y","non-dropping-particle":"","parse-names":false,"suffix":""}],"container-title":"Trends in neurosciences","id":"ITEM-2","issue":"5","issued":{"date-parts":[["2012","5"]]},"page":"274-83","publisher":"NIH Public Access","title":"Memory enhancement: consolidation, reconsolidation and insulin-like growth factor 2.","type":"article-journal","volume":"35"},"uris":["http://www.mendeley.com/documents/?uuid=9cd719c2-4d00-3f19-8f58-d083df48cdb1"]}],"mendeley":{"formattedCitation":"[9,36]","plainTextFormattedCitation":"[9,36]","previouslyFormattedCitation":"(9,36)"},"properties":{"noteIndex":0},"schema":"https://github.com/citation-style-language/schema/raw/master/csl-citation.json"}</w:instrText>
      </w:r>
      <w:r w:rsidR="0073523B" w:rsidRPr="00807368">
        <w:rPr>
          <w:rFonts w:asciiTheme="majorBidi" w:eastAsia="Calibri" w:hAnsiTheme="majorBidi" w:cstheme="majorBidi"/>
          <w:sz w:val="24"/>
          <w:szCs w:val="24"/>
          <w:lang w:bidi="fa-IR"/>
        </w:rPr>
        <w:fldChar w:fldCharType="separate"/>
      </w:r>
      <w:r w:rsidR="00770076" w:rsidRPr="00770076">
        <w:rPr>
          <w:rFonts w:asciiTheme="majorBidi" w:eastAsia="Calibri" w:hAnsiTheme="majorBidi" w:cstheme="majorBidi"/>
          <w:noProof/>
          <w:sz w:val="24"/>
          <w:szCs w:val="24"/>
          <w:lang w:bidi="fa-IR"/>
        </w:rPr>
        <w:t>[9,36]</w:t>
      </w:r>
      <w:r w:rsidR="0073523B" w:rsidRPr="00807368">
        <w:rPr>
          <w:rFonts w:asciiTheme="majorBidi" w:eastAsia="Calibri" w:hAnsiTheme="majorBidi" w:cstheme="majorBidi"/>
          <w:sz w:val="24"/>
          <w:szCs w:val="24"/>
          <w:lang w:bidi="fa-IR"/>
        </w:rPr>
        <w:fldChar w:fldCharType="end"/>
      </w:r>
      <w:r w:rsidRPr="00807368">
        <w:rPr>
          <w:rFonts w:asciiTheme="majorBidi" w:eastAsia="Calibri" w:hAnsiTheme="majorBidi" w:cstheme="majorBidi"/>
          <w:sz w:val="24"/>
          <w:szCs w:val="24"/>
          <w:lang w:bidi="fa-IR"/>
        </w:rPr>
        <w:t>. Our results showed that the expression of IGF-II gene in the I</w:t>
      </w:r>
      <w:r w:rsidR="00390CF4" w:rsidRPr="00807368">
        <w:rPr>
          <w:rFonts w:asciiTheme="majorBidi" w:eastAsia="Calibri" w:hAnsiTheme="majorBidi" w:cstheme="majorBidi"/>
          <w:sz w:val="24"/>
          <w:szCs w:val="24"/>
          <w:lang w:bidi="fa-IR"/>
        </w:rPr>
        <w:t>GF-II</w:t>
      </w:r>
      <w:r w:rsidRPr="00807368">
        <w:rPr>
          <w:rFonts w:asciiTheme="majorBidi" w:eastAsia="Calibri" w:hAnsiTheme="majorBidi" w:cstheme="majorBidi"/>
          <w:sz w:val="24"/>
          <w:szCs w:val="24"/>
          <w:lang w:bidi="fa-IR"/>
        </w:rPr>
        <w:t xml:space="preserve"> group was significantly decreased in </w:t>
      </w:r>
      <w:r w:rsidR="00CE5A79" w:rsidRPr="00807368">
        <w:rPr>
          <w:rFonts w:asciiTheme="majorBidi" w:eastAsia="Calibri" w:hAnsiTheme="majorBidi" w:cstheme="majorBidi"/>
          <w:sz w:val="24"/>
          <w:szCs w:val="24"/>
          <w:lang w:bidi="fa-IR"/>
        </w:rPr>
        <w:t xml:space="preserve">comparison with </w:t>
      </w:r>
      <w:r w:rsidRPr="00807368">
        <w:rPr>
          <w:rFonts w:asciiTheme="majorBidi" w:eastAsia="Calibri" w:hAnsiTheme="majorBidi" w:cstheme="majorBidi"/>
          <w:sz w:val="24"/>
          <w:szCs w:val="24"/>
          <w:lang w:bidi="fa-IR"/>
        </w:rPr>
        <w:t>the sham group.</w:t>
      </w:r>
      <w:r w:rsidRPr="00807368">
        <w:rPr>
          <w:rFonts w:asciiTheme="majorBidi" w:hAnsiTheme="majorBidi" w:cstheme="majorBidi"/>
          <w:sz w:val="24"/>
          <w:szCs w:val="24"/>
        </w:rPr>
        <w:t xml:space="preserve"> </w:t>
      </w:r>
      <w:r w:rsidRPr="00807368">
        <w:rPr>
          <w:rFonts w:asciiTheme="majorBidi" w:eastAsia="Calibri" w:hAnsiTheme="majorBidi" w:cstheme="majorBidi"/>
          <w:sz w:val="24"/>
          <w:szCs w:val="24"/>
          <w:lang w:bidi="fa-IR"/>
        </w:rPr>
        <w:t>Because IGF-II works as a growth factor, in addition to cell survival, it can also cause an increase in cancer cells.</w:t>
      </w:r>
      <w:r w:rsidRPr="00807368">
        <w:rPr>
          <w:rFonts w:asciiTheme="majorBidi" w:hAnsiTheme="majorBidi" w:cstheme="majorBidi"/>
          <w:sz w:val="24"/>
          <w:szCs w:val="24"/>
        </w:rPr>
        <w:t xml:space="preserve"> </w:t>
      </w:r>
      <w:r w:rsidR="00CE5A79" w:rsidRPr="00807368">
        <w:rPr>
          <w:rFonts w:asciiTheme="majorBidi" w:eastAsia="Calibri" w:hAnsiTheme="majorBidi" w:cstheme="majorBidi"/>
          <w:sz w:val="24"/>
          <w:szCs w:val="24"/>
          <w:lang w:bidi="fa-IR"/>
        </w:rPr>
        <w:t>The</w:t>
      </w:r>
      <w:r w:rsidRPr="00807368">
        <w:rPr>
          <w:rFonts w:asciiTheme="majorBidi" w:eastAsia="Calibri" w:hAnsiTheme="majorBidi" w:cstheme="majorBidi"/>
          <w:sz w:val="24"/>
          <w:szCs w:val="24"/>
          <w:lang w:bidi="fa-IR"/>
        </w:rPr>
        <w:t xml:space="preserve"> brain has defensive mechanisms that prevent excessive function of this factor and its receptor.</w:t>
      </w:r>
      <w:r w:rsidRPr="00807368">
        <w:rPr>
          <w:rFonts w:asciiTheme="majorBidi" w:hAnsiTheme="majorBidi" w:cstheme="majorBidi"/>
          <w:sz w:val="24"/>
          <w:szCs w:val="24"/>
        </w:rPr>
        <w:t xml:space="preserve"> </w:t>
      </w:r>
      <w:r w:rsidRPr="00807368">
        <w:rPr>
          <w:rFonts w:asciiTheme="majorBidi" w:eastAsia="Calibri" w:hAnsiTheme="majorBidi" w:cstheme="majorBidi"/>
          <w:sz w:val="24"/>
          <w:szCs w:val="24"/>
          <w:lang w:bidi="fa-IR"/>
        </w:rPr>
        <w:t xml:space="preserve">One of these mechanisms is that the IGF-II receptor has a short life span and is rapidly degraded </w:t>
      </w:r>
      <w:r w:rsidR="0073523B" w:rsidRPr="00807368">
        <w:rPr>
          <w:rFonts w:asciiTheme="majorBidi" w:eastAsia="Calibri" w:hAnsiTheme="majorBidi" w:cstheme="majorBidi"/>
          <w:sz w:val="24"/>
          <w:szCs w:val="24"/>
          <w:lang w:bidi="fa-IR"/>
        </w:rPr>
        <w:fldChar w:fldCharType="begin" w:fldLock="1"/>
      </w:r>
      <w:r w:rsidR="00770076">
        <w:rPr>
          <w:rFonts w:asciiTheme="majorBidi" w:eastAsia="Calibri" w:hAnsiTheme="majorBidi" w:cstheme="majorBidi"/>
          <w:sz w:val="24"/>
          <w:szCs w:val="24"/>
          <w:lang w:bidi="fa-IR"/>
        </w:rPr>
        <w:instrText>ADDIN CSL_CITATION {"citationItems":[{"id":"ITEM-1","itemData":{"DOI":"10.1016/j.tins.2011.12.007","ISSN":"1878-108X","PMID":"22341662","abstract":"Life and societies would change significantly if memory capacity or persistence in health and disease could be enhanced. It has been known for many years that memory can be improved and strengthened. Substances known to enhance memory include hormones, neurotransmitters, neuropeptides and metabolic substrates. Recently, attention has been given to identifying the molecular mechanisms and targets whereby memory enhancement can be achieved. One approach would be to target the physiological changes that are induced by learning and naturally required for memory strengthening via consolidation and reconsolidation. Here, we review approaches that boost memories by targeting the cAMP response element binding protein-CCAAT enhancer binding protein (CREB-C/EBP) pathway and/or its recently identified target gene insulin-like growth factor 2 (IGF2).","author":[{"dropping-particle":"","family":"Alberini","given":"Cristina M","non-dropping-particle":"","parse-names":false,"suffix":""},{"dropping-particle":"","family":"Chen","given":"Dillon Y","non-dropping-particle":"","parse-names":false,"suffix":""}],"container-title":"Trends in neurosciences","id":"ITEM-1","issue":"5","issued":{"date-parts":[["2012","5"]]},"page":"274-83","publisher":"NIH Public Access","title":"Memory enhancement: consolidation, reconsolidation and insulin-like growth factor 2.","type":"article-journal","volume":"35"},"uris":["http://www.mendeley.com/documents/?uuid=9cd719c2-4d00-3f19-8f58-d083df48cdb1"]},{"id":"ITEM-2","itemData":{"DOI":"10.1530/ERC-13-0231","ISSN":"1351-0088","PMID":"24080445","abstract":"Insulin-like growth factor 2 (IGF2) is a 7.5  kDa mitogenic peptide hormone expressed by liver and many other tissues. It is three times more abundant in serum than IGF1, but our understanding of its physiological and pathological roles has lagged behind that of IGF1. Expression of the IGF2 gene is strictly regulated. Over-expression occurs in many cancers and is associated with a poor prognosis. Elevated serum IGF2 is also associated with increased risk of developing various cancers including colorectal, breast, prostate and lung. There is established clinical utility for IGF2 measurement in the diagnosis of non-islet cell tumour hypoglycaemia, a condition characterised by a molar IGF2:IGF1 ratio &gt;10. Recent advances in understanding of the pathophysiology of IGF2 in cancer have suggested much novel clinical utility for its measurement. Measurement of IGF2 in blood and genetic and epigenetic tests of the IGF2 gene may help assess cancer risk and prognosis. Further studies will determine whether these tests enter clinical practice. New therapeutic approaches are being developed to target IGF2 action. This review provides a clinical perspective on IGF2 and an update on recent research findings.","author":[{"dropping-particle":"","family":"Livingstone","given":"C.","non-dropping-particle":"","parse-names":false,"suffix":""}],"container-title":"Endocrine Related Cancer","id":"ITEM-2","issue":"6","issued":{"date-parts":[["2013","10","24"]]},"page":"R321-R339","title":"IGF2 and cancer","type":"article-journal","volume":"20"},"uris":["http://www.mendeley.com/documents/?uuid=a85f51bd-9dcb-3548-828a-0770f8ff6db7"]}],"mendeley":{"formattedCitation":"[36,37]","plainTextFormattedCitation":"[36,37]","previouslyFormattedCitation":"(36,37)"},"properties":{"noteIndex":0},"schema":"https://github.com/citation-style-language/schema/raw/master/csl-citation.json"}</w:instrText>
      </w:r>
      <w:r w:rsidR="0073523B" w:rsidRPr="00807368">
        <w:rPr>
          <w:rFonts w:asciiTheme="majorBidi" w:eastAsia="Calibri" w:hAnsiTheme="majorBidi" w:cstheme="majorBidi"/>
          <w:sz w:val="24"/>
          <w:szCs w:val="24"/>
          <w:lang w:bidi="fa-IR"/>
        </w:rPr>
        <w:fldChar w:fldCharType="separate"/>
      </w:r>
      <w:r w:rsidR="00770076" w:rsidRPr="00770076">
        <w:rPr>
          <w:rFonts w:asciiTheme="majorBidi" w:eastAsia="Calibri" w:hAnsiTheme="majorBidi" w:cstheme="majorBidi"/>
          <w:noProof/>
          <w:sz w:val="24"/>
          <w:szCs w:val="24"/>
          <w:lang w:bidi="fa-IR"/>
        </w:rPr>
        <w:t>[36,37]</w:t>
      </w:r>
      <w:r w:rsidR="0073523B" w:rsidRPr="00807368">
        <w:rPr>
          <w:rFonts w:asciiTheme="majorBidi" w:eastAsia="Calibri" w:hAnsiTheme="majorBidi" w:cstheme="majorBidi"/>
          <w:sz w:val="24"/>
          <w:szCs w:val="24"/>
          <w:lang w:bidi="fa-IR"/>
        </w:rPr>
        <w:fldChar w:fldCharType="end"/>
      </w:r>
      <w:r w:rsidRPr="00807368">
        <w:rPr>
          <w:rFonts w:asciiTheme="majorBidi" w:eastAsia="Calibri" w:hAnsiTheme="majorBidi" w:cstheme="majorBidi"/>
          <w:sz w:val="24"/>
          <w:szCs w:val="24"/>
          <w:lang w:bidi="fa-IR"/>
        </w:rPr>
        <w:t xml:space="preserve">. This causes the IGF-II to remain in the </w:t>
      </w:r>
      <w:r w:rsidR="00390CF4" w:rsidRPr="00807368">
        <w:rPr>
          <w:rFonts w:asciiTheme="majorBidi" w:eastAsia="Calibri" w:hAnsiTheme="majorBidi" w:cstheme="majorBidi"/>
          <w:sz w:val="24"/>
          <w:szCs w:val="24"/>
          <w:lang w:bidi="fa-IR"/>
        </w:rPr>
        <w:t>tissue</w:t>
      </w:r>
      <w:r w:rsidRPr="00807368">
        <w:rPr>
          <w:rFonts w:asciiTheme="majorBidi" w:eastAsia="Calibri" w:hAnsiTheme="majorBidi" w:cstheme="majorBidi"/>
          <w:sz w:val="24"/>
          <w:szCs w:val="24"/>
          <w:lang w:bidi="fa-IR"/>
        </w:rPr>
        <w:t>, but its receptor shows less activity.</w:t>
      </w:r>
      <w:r w:rsidRPr="00807368">
        <w:rPr>
          <w:rFonts w:asciiTheme="majorBidi" w:hAnsiTheme="majorBidi" w:cstheme="majorBidi"/>
          <w:sz w:val="24"/>
          <w:szCs w:val="24"/>
        </w:rPr>
        <w:t xml:space="preserve"> </w:t>
      </w:r>
      <w:r w:rsidRPr="00807368">
        <w:rPr>
          <w:rFonts w:asciiTheme="majorBidi" w:eastAsia="Calibri" w:hAnsiTheme="majorBidi" w:cstheme="majorBidi"/>
          <w:sz w:val="24"/>
          <w:szCs w:val="24"/>
          <w:lang w:bidi="fa-IR"/>
        </w:rPr>
        <w:t xml:space="preserve">The reduction in IGF-II gene expression in the treatment group can be </w:t>
      </w:r>
      <w:r w:rsidR="00887524" w:rsidRPr="00807368">
        <w:rPr>
          <w:rFonts w:asciiTheme="majorBidi" w:eastAsia="Calibri" w:hAnsiTheme="majorBidi" w:cstheme="majorBidi"/>
          <w:sz w:val="24"/>
          <w:szCs w:val="24"/>
          <w:lang w:bidi="fa-IR"/>
        </w:rPr>
        <w:t>due to the possible increase of IGF</w:t>
      </w:r>
      <w:r w:rsidRPr="00807368">
        <w:rPr>
          <w:rFonts w:asciiTheme="majorBidi" w:eastAsia="Calibri" w:hAnsiTheme="majorBidi" w:cstheme="majorBidi"/>
          <w:sz w:val="24"/>
          <w:szCs w:val="24"/>
          <w:lang w:bidi="fa-IR"/>
        </w:rPr>
        <w:t xml:space="preserve">-II levels in the </w:t>
      </w:r>
      <w:r w:rsidR="00390CF4" w:rsidRPr="00807368">
        <w:rPr>
          <w:rFonts w:asciiTheme="majorBidi" w:eastAsia="Calibri" w:hAnsiTheme="majorBidi" w:cstheme="majorBidi"/>
          <w:sz w:val="24"/>
          <w:szCs w:val="24"/>
          <w:lang w:bidi="fa-IR"/>
        </w:rPr>
        <w:t>tissue</w:t>
      </w:r>
      <w:r w:rsidRPr="00807368">
        <w:rPr>
          <w:rFonts w:asciiTheme="majorBidi" w:eastAsia="Calibri" w:hAnsiTheme="majorBidi" w:cstheme="majorBidi"/>
          <w:sz w:val="24"/>
          <w:szCs w:val="24"/>
          <w:lang w:bidi="fa-IR"/>
        </w:rPr>
        <w:t xml:space="preserve"> and </w:t>
      </w:r>
      <w:r w:rsidR="00887524" w:rsidRPr="00807368">
        <w:rPr>
          <w:rFonts w:asciiTheme="majorBidi" w:eastAsia="Calibri" w:hAnsiTheme="majorBidi" w:cstheme="majorBidi"/>
          <w:sz w:val="24"/>
          <w:szCs w:val="24"/>
          <w:lang w:bidi="fa-IR"/>
        </w:rPr>
        <w:t>the probable subsequent suppression in the</w:t>
      </w:r>
      <w:r w:rsidRPr="00807368">
        <w:rPr>
          <w:rFonts w:asciiTheme="majorBidi" w:eastAsia="Calibri" w:hAnsiTheme="majorBidi" w:cstheme="majorBidi"/>
          <w:sz w:val="24"/>
          <w:szCs w:val="24"/>
          <w:lang w:bidi="fa-IR"/>
        </w:rPr>
        <w:t xml:space="preserve"> expression of the IGF-II gene.</w:t>
      </w:r>
      <w:r w:rsidRPr="00807368">
        <w:rPr>
          <w:rFonts w:asciiTheme="majorBidi" w:hAnsiTheme="majorBidi" w:cstheme="majorBidi"/>
          <w:sz w:val="24"/>
          <w:szCs w:val="24"/>
        </w:rPr>
        <w:t xml:space="preserve"> </w:t>
      </w:r>
      <w:r w:rsidRPr="00807368">
        <w:rPr>
          <w:rFonts w:asciiTheme="majorBidi" w:eastAsia="Calibri" w:hAnsiTheme="majorBidi" w:cstheme="majorBidi"/>
          <w:sz w:val="24"/>
          <w:szCs w:val="24"/>
          <w:lang w:bidi="fa-IR"/>
        </w:rPr>
        <w:t>However, in the sham group, in contrast to the other two</w:t>
      </w:r>
      <w:r w:rsidR="00887524" w:rsidRPr="00807368">
        <w:rPr>
          <w:rFonts w:asciiTheme="majorBidi" w:eastAsia="Calibri" w:hAnsiTheme="majorBidi" w:cstheme="majorBidi"/>
          <w:sz w:val="24"/>
          <w:szCs w:val="24"/>
          <w:lang w:bidi="fa-IR"/>
        </w:rPr>
        <w:t xml:space="preserve"> groups, normal </w:t>
      </w:r>
      <w:r w:rsidRPr="00807368">
        <w:rPr>
          <w:rFonts w:asciiTheme="majorBidi" w:eastAsia="Calibri" w:hAnsiTheme="majorBidi" w:cstheme="majorBidi"/>
          <w:sz w:val="24"/>
          <w:szCs w:val="24"/>
          <w:lang w:bidi="fa-IR"/>
        </w:rPr>
        <w:t xml:space="preserve">function </w:t>
      </w:r>
      <w:r w:rsidR="00887524" w:rsidRPr="00807368">
        <w:rPr>
          <w:rFonts w:asciiTheme="majorBidi" w:eastAsia="Calibri" w:hAnsiTheme="majorBidi" w:cstheme="majorBidi"/>
          <w:sz w:val="24"/>
          <w:szCs w:val="24"/>
          <w:lang w:bidi="fa-IR"/>
        </w:rPr>
        <w:t xml:space="preserve">of the receptors </w:t>
      </w:r>
      <w:r w:rsidRPr="00807368">
        <w:rPr>
          <w:rFonts w:asciiTheme="majorBidi" w:eastAsia="Calibri" w:hAnsiTheme="majorBidi" w:cstheme="majorBidi"/>
          <w:sz w:val="24"/>
          <w:szCs w:val="24"/>
          <w:lang w:bidi="fa-IR"/>
        </w:rPr>
        <w:t xml:space="preserve">and </w:t>
      </w:r>
      <w:r w:rsidR="00887524" w:rsidRPr="00807368">
        <w:rPr>
          <w:rFonts w:asciiTheme="majorBidi" w:eastAsia="Calibri" w:hAnsiTheme="majorBidi" w:cstheme="majorBidi"/>
          <w:sz w:val="24"/>
          <w:szCs w:val="24"/>
          <w:lang w:bidi="fa-IR"/>
        </w:rPr>
        <w:t xml:space="preserve">significant </w:t>
      </w:r>
      <w:r w:rsidRPr="00807368">
        <w:rPr>
          <w:rFonts w:asciiTheme="majorBidi" w:eastAsia="Calibri" w:hAnsiTheme="majorBidi" w:cstheme="majorBidi"/>
          <w:sz w:val="24"/>
          <w:szCs w:val="24"/>
          <w:lang w:bidi="fa-IR"/>
        </w:rPr>
        <w:t>expression of the IGF-II gene is observed.</w:t>
      </w:r>
    </w:p>
    <w:p w:rsidR="00923384" w:rsidRPr="00807368" w:rsidRDefault="00923384" w:rsidP="00925FD4">
      <w:pPr>
        <w:spacing w:line="276" w:lineRule="auto"/>
        <w:jc w:val="both"/>
        <w:rPr>
          <w:rFonts w:asciiTheme="majorBidi" w:eastAsia="Calibri" w:hAnsiTheme="majorBidi" w:cstheme="majorBidi"/>
          <w:b/>
          <w:bCs/>
          <w:sz w:val="24"/>
          <w:szCs w:val="24"/>
          <w:rtl/>
          <w:lang w:bidi="fa-IR"/>
        </w:rPr>
      </w:pPr>
      <w:r w:rsidRPr="00807368">
        <w:rPr>
          <w:rFonts w:asciiTheme="majorBidi" w:eastAsia="Calibri" w:hAnsiTheme="majorBidi" w:cstheme="majorBidi"/>
          <w:b/>
          <w:bCs/>
          <w:sz w:val="24"/>
          <w:szCs w:val="24"/>
          <w:lang w:bidi="fa-IR"/>
        </w:rPr>
        <w:t>Conclusions</w:t>
      </w:r>
    </w:p>
    <w:p w:rsidR="008B41E0" w:rsidRPr="00807368" w:rsidRDefault="004174D7" w:rsidP="00476DEA">
      <w:pPr>
        <w:spacing w:line="276" w:lineRule="auto"/>
        <w:jc w:val="both"/>
        <w:rPr>
          <w:rFonts w:asciiTheme="majorBidi" w:eastAsia="Calibri" w:hAnsiTheme="majorBidi" w:cstheme="majorBidi"/>
          <w:sz w:val="24"/>
          <w:szCs w:val="24"/>
          <w:rtl/>
          <w:lang w:bidi="fa-IR"/>
        </w:rPr>
      </w:pPr>
      <w:r w:rsidRPr="00807368">
        <w:rPr>
          <w:rFonts w:asciiTheme="majorBidi" w:eastAsia="Calibri" w:hAnsiTheme="majorBidi" w:cstheme="majorBidi"/>
          <w:sz w:val="24"/>
          <w:szCs w:val="24"/>
          <w:lang w:bidi="fa-IR"/>
        </w:rPr>
        <w:t xml:space="preserve">In summary, the results of this study indicate that injection of </w:t>
      </w:r>
      <w:r w:rsidR="007F62C0" w:rsidRPr="00807368">
        <w:rPr>
          <w:rFonts w:asciiTheme="majorBidi" w:eastAsia="Calibri" w:hAnsiTheme="majorBidi" w:cstheme="majorBidi"/>
          <w:sz w:val="24"/>
          <w:szCs w:val="24"/>
          <w:lang w:bidi="fa-IR"/>
        </w:rPr>
        <w:t>recombinant</w:t>
      </w:r>
      <w:r w:rsidRPr="00807368">
        <w:rPr>
          <w:rFonts w:asciiTheme="majorBidi" w:eastAsia="Calibri" w:hAnsiTheme="majorBidi" w:cstheme="majorBidi"/>
          <w:sz w:val="24"/>
          <w:szCs w:val="24"/>
          <w:lang w:bidi="fa-IR"/>
        </w:rPr>
        <w:t xml:space="preserve"> IGF-II </w:t>
      </w:r>
      <w:r w:rsidR="00BE317E" w:rsidRPr="00807368">
        <w:rPr>
          <w:rFonts w:asciiTheme="majorBidi" w:eastAsia="Calibri" w:hAnsiTheme="majorBidi" w:cstheme="majorBidi"/>
          <w:sz w:val="24"/>
          <w:szCs w:val="24"/>
          <w:lang w:bidi="fa-IR"/>
        </w:rPr>
        <w:t xml:space="preserve">into hippocampus </w:t>
      </w:r>
      <w:r w:rsidRPr="00807368">
        <w:rPr>
          <w:rFonts w:asciiTheme="majorBidi" w:eastAsia="Calibri" w:hAnsiTheme="majorBidi" w:cstheme="majorBidi"/>
          <w:sz w:val="24"/>
          <w:szCs w:val="24"/>
          <w:lang w:bidi="fa-IR"/>
        </w:rPr>
        <w:t xml:space="preserve">30 min after the ICH </w:t>
      </w:r>
      <w:r w:rsidR="008B41E0" w:rsidRPr="00807368">
        <w:rPr>
          <w:rFonts w:asciiTheme="majorBidi" w:eastAsia="Calibri" w:hAnsiTheme="majorBidi" w:cstheme="majorBidi"/>
          <w:sz w:val="24"/>
          <w:szCs w:val="24"/>
          <w:lang w:bidi="fa-IR"/>
        </w:rPr>
        <w:t xml:space="preserve">can improve avoidance memory in passive avoidance test but </w:t>
      </w:r>
      <w:r w:rsidR="00076735" w:rsidRPr="00807368">
        <w:rPr>
          <w:rFonts w:asciiTheme="majorBidi" w:eastAsia="Calibri" w:hAnsiTheme="majorBidi" w:cstheme="majorBidi"/>
          <w:sz w:val="24"/>
          <w:szCs w:val="24"/>
          <w:lang w:bidi="fa-IR"/>
        </w:rPr>
        <w:t>it doesn’t have any positive</w:t>
      </w:r>
      <w:r w:rsidR="008B41E0" w:rsidRPr="00807368">
        <w:rPr>
          <w:rFonts w:asciiTheme="majorBidi" w:eastAsia="Calibri" w:hAnsiTheme="majorBidi" w:cstheme="majorBidi"/>
          <w:sz w:val="24"/>
          <w:szCs w:val="24"/>
          <w:lang w:bidi="fa-IR"/>
        </w:rPr>
        <w:t xml:space="preserve"> effect</w:t>
      </w:r>
      <w:r w:rsidR="00076735" w:rsidRPr="00807368">
        <w:rPr>
          <w:rFonts w:asciiTheme="majorBidi" w:eastAsia="Calibri" w:hAnsiTheme="majorBidi" w:cstheme="majorBidi"/>
          <w:sz w:val="24"/>
          <w:szCs w:val="24"/>
          <w:lang w:bidi="fa-IR"/>
        </w:rPr>
        <w:t xml:space="preserve"> </w:t>
      </w:r>
      <w:r w:rsidR="00476DEA">
        <w:rPr>
          <w:rFonts w:asciiTheme="majorBidi" w:eastAsia="Calibri" w:hAnsiTheme="majorBidi" w:cstheme="majorBidi"/>
          <w:sz w:val="24"/>
          <w:szCs w:val="24"/>
          <w:lang w:bidi="fa-IR"/>
        </w:rPr>
        <w:t>on investigation memory.</w:t>
      </w:r>
      <w:r w:rsidR="008B41E0" w:rsidRPr="00807368">
        <w:rPr>
          <w:rFonts w:asciiTheme="majorBidi" w:eastAsia="Calibri" w:hAnsiTheme="majorBidi" w:cstheme="majorBidi"/>
          <w:sz w:val="24"/>
          <w:szCs w:val="24"/>
          <w:lang w:bidi="fa-IR"/>
        </w:rPr>
        <w:t xml:space="preserve"> In addition, IGF-II</w:t>
      </w:r>
      <w:r w:rsidR="008B41E0" w:rsidRPr="00807368">
        <w:rPr>
          <w:rFonts w:asciiTheme="majorBidi" w:hAnsiTheme="majorBidi" w:cstheme="majorBidi"/>
        </w:rPr>
        <w:t xml:space="preserve"> </w:t>
      </w:r>
      <w:r w:rsidR="008B41E0" w:rsidRPr="00807368">
        <w:rPr>
          <w:rFonts w:asciiTheme="majorBidi" w:eastAsia="Calibri" w:hAnsiTheme="majorBidi" w:cstheme="majorBidi"/>
          <w:sz w:val="24"/>
          <w:szCs w:val="24"/>
          <w:lang w:bidi="fa-IR"/>
        </w:rPr>
        <w:t>was no</w:t>
      </w:r>
      <w:r w:rsidR="00076735" w:rsidRPr="00807368">
        <w:rPr>
          <w:rFonts w:asciiTheme="majorBidi" w:eastAsia="Calibri" w:hAnsiTheme="majorBidi" w:cstheme="majorBidi"/>
          <w:sz w:val="24"/>
          <w:szCs w:val="24"/>
          <w:lang w:bidi="fa-IR"/>
        </w:rPr>
        <w:t>t</w:t>
      </w:r>
      <w:r w:rsidR="008B41E0" w:rsidRPr="00807368">
        <w:rPr>
          <w:rFonts w:asciiTheme="majorBidi" w:eastAsia="Calibri" w:hAnsiTheme="majorBidi" w:cstheme="majorBidi"/>
          <w:sz w:val="24"/>
          <w:szCs w:val="24"/>
          <w:lang w:bidi="fa-IR"/>
        </w:rPr>
        <w:t xml:space="preserve"> effect</w:t>
      </w:r>
      <w:r w:rsidR="00076735" w:rsidRPr="00807368">
        <w:rPr>
          <w:rFonts w:asciiTheme="majorBidi" w:eastAsia="Calibri" w:hAnsiTheme="majorBidi" w:cstheme="majorBidi"/>
          <w:sz w:val="24"/>
          <w:szCs w:val="24"/>
          <w:lang w:bidi="fa-IR"/>
        </w:rPr>
        <w:t>ive</w:t>
      </w:r>
      <w:r w:rsidR="008B41E0" w:rsidRPr="00807368">
        <w:rPr>
          <w:rFonts w:asciiTheme="majorBidi" w:eastAsia="Calibri" w:hAnsiTheme="majorBidi" w:cstheme="majorBidi"/>
          <w:sz w:val="24"/>
          <w:szCs w:val="24"/>
          <w:lang w:bidi="fa-IR"/>
        </w:rPr>
        <w:t xml:space="preserve"> on motor activity assessed by wire hanging test, which indicates that the information obtained from the memory tests was not due to changes in motor activity.</w:t>
      </w:r>
      <w:r w:rsidR="00FC7379" w:rsidRPr="00807368">
        <w:rPr>
          <w:rFonts w:asciiTheme="majorBidi" w:eastAsia="Calibri" w:hAnsiTheme="majorBidi" w:cstheme="majorBidi"/>
          <w:sz w:val="24"/>
          <w:szCs w:val="24"/>
          <w:lang w:bidi="fa-IR"/>
        </w:rPr>
        <w:t xml:space="preserve"> IGF-II injection reduces the IGF-II gene expression</w:t>
      </w:r>
      <w:r w:rsidR="006901E1" w:rsidRPr="00807368">
        <w:rPr>
          <w:rFonts w:asciiTheme="majorBidi" w:eastAsia="Calibri" w:hAnsiTheme="majorBidi" w:cstheme="majorBidi"/>
          <w:sz w:val="24"/>
          <w:szCs w:val="24"/>
          <w:lang w:bidi="fa-IR"/>
        </w:rPr>
        <w:t>;</w:t>
      </w:r>
      <w:r w:rsidR="00FC7379" w:rsidRPr="00807368">
        <w:rPr>
          <w:rFonts w:asciiTheme="majorBidi" w:hAnsiTheme="majorBidi" w:cstheme="majorBidi"/>
        </w:rPr>
        <w:t xml:space="preserve"> </w:t>
      </w:r>
      <w:r w:rsidR="00BE317E" w:rsidRPr="00807368">
        <w:rPr>
          <w:rFonts w:asciiTheme="majorBidi" w:eastAsia="Calibri" w:hAnsiTheme="majorBidi" w:cstheme="majorBidi"/>
          <w:sz w:val="24"/>
          <w:szCs w:val="24"/>
          <w:lang w:bidi="fa-IR"/>
        </w:rPr>
        <w:t>r</w:t>
      </w:r>
      <w:r w:rsidR="00FC7379" w:rsidRPr="00807368">
        <w:rPr>
          <w:rFonts w:asciiTheme="majorBidi" w:eastAsia="Calibri" w:hAnsiTheme="majorBidi" w:cstheme="majorBidi"/>
          <w:sz w:val="24"/>
          <w:szCs w:val="24"/>
          <w:lang w:bidi="fa-IR"/>
        </w:rPr>
        <w:t>egarding the improvement of memory and the effective role of the IGF-II, it seems that the expression of the IGF-II</w:t>
      </w:r>
      <w:r w:rsidR="006901E1" w:rsidRPr="00807368">
        <w:rPr>
          <w:rFonts w:asciiTheme="majorBidi" w:eastAsia="Calibri" w:hAnsiTheme="majorBidi" w:cstheme="majorBidi"/>
          <w:sz w:val="24"/>
          <w:szCs w:val="24"/>
          <w:lang w:bidi="fa-IR"/>
        </w:rPr>
        <w:t xml:space="preserve"> </w:t>
      </w:r>
      <w:r w:rsidR="00FC7379" w:rsidRPr="00807368">
        <w:rPr>
          <w:rFonts w:asciiTheme="majorBidi" w:eastAsia="Calibri" w:hAnsiTheme="majorBidi" w:cstheme="majorBidi"/>
          <w:sz w:val="24"/>
          <w:szCs w:val="24"/>
          <w:lang w:bidi="fa-IR"/>
        </w:rPr>
        <w:t>gene does not correlate with memory changes, which requires further studies.</w:t>
      </w:r>
    </w:p>
    <w:p w:rsidR="00203D49" w:rsidRPr="00807368" w:rsidRDefault="00203D49" w:rsidP="00925FD4">
      <w:pPr>
        <w:spacing w:line="276" w:lineRule="auto"/>
        <w:jc w:val="both"/>
        <w:rPr>
          <w:rFonts w:asciiTheme="majorBidi" w:hAnsiTheme="majorBidi" w:cstheme="majorBidi"/>
          <w:sz w:val="24"/>
          <w:szCs w:val="24"/>
        </w:rPr>
      </w:pPr>
      <w:bookmarkStart w:id="1" w:name="_GoBack"/>
      <w:bookmarkEnd w:id="1"/>
    </w:p>
    <w:p w:rsidR="00203D49" w:rsidRPr="00807368" w:rsidRDefault="00203D49" w:rsidP="00925FD4">
      <w:pPr>
        <w:spacing w:line="276" w:lineRule="auto"/>
        <w:jc w:val="both"/>
        <w:rPr>
          <w:rFonts w:asciiTheme="majorBidi" w:hAnsiTheme="majorBidi" w:cstheme="majorBidi"/>
          <w:sz w:val="24"/>
          <w:szCs w:val="24"/>
        </w:rPr>
      </w:pPr>
    </w:p>
    <w:p w:rsidR="00203D49" w:rsidRPr="00807368" w:rsidRDefault="00203D49" w:rsidP="00925FD4">
      <w:pPr>
        <w:spacing w:line="276" w:lineRule="auto"/>
        <w:jc w:val="both"/>
        <w:rPr>
          <w:rFonts w:asciiTheme="majorBidi" w:hAnsiTheme="majorBidi" w:cstheme="majorBidi"/>
          <w:sz w:val="24"/>
          <w:szCs w:val="24"/>
        </w:rPr>
      </w:pPr>
    </w:p>
    <w:p w:rsidR="00203D49" w:rsidRPr="00807368" w:rsidRDefault="00203D49" w:rsidP="00925FD4">
      <w:pPr>
        <w:spacing w:line="276" w:lineRule="auto"/>
        <w:jc w:val="both"/>
        <w:rPr>
          <w:rFonts w:asciiTheme="majorBidi" w:hAnsiTheme="majorBidi" w:cstheme="majorBidi"/>
          <w:sz w:val="24"/>
          <w:szCs w:val="24"/>
        </w:rPr>
      </w:pPr>
    </w:p>
    <w:p w:rsidR="00203D49" w:rsidRPr="00807368" w:rsidRDefault="00203D49" w:rsidP="00925FD4">
      <w:pPr>
        <w:spacing w:line="276" w:lineRule="auto"/>
        <w:jc w:val="both"/>
        <w:rPr>
          <w:rFonts w:asciiTheme="majorBidi" w:hAnsiTheme="majorBidi" w:cstheme="majorBidi"/>
          <w:sz w:val="24"/>
          <w:szCs w:val="24"/>
        </w:rPr>
      </w:pPr>
    </w:p>
    <w:p w:rsidR="00203D49" w:rsidRPr="00807368" w:rsidRDefault="00203D49" w:rsidP="00925FD4">
      <w:pPr>
        <w:spacing w:line="276" w:lineRule="auto"/>
        <w:jc w:val="both"/>
        <w:rPr>
          <w:rFonts w:asciiTheme="majorBidi" w:hAnsiTheme="majorBidi" w:cstheme="majorBidi"/>
          <w:color w:val="000000" w:themeColor="text1"/>
          <w:sz w:val="24"/>
          <w:szCs w:val="24"/>
        </w:rPr>
      </w:pPr>
    </w:p>
    <w:p w:rsidR="00770076" w:rsidRPr="00770076" w:rsidRDefault="0073523B" w:rsidP="00770076">
      <w:pPr>
        <w:widowControl w:val="0"/>
        <w:autoSpaceDE w:val="0"/>
        <w:autoSpaceDN w:val="0"/>
        <w:adjustRightInd w:val="0"/>
        <w:spacing w:line="240" w:lineRule="auto"/>
        <w:ind w:left="640" w:hanging="640"/>
        <w:rPr>
          <w:rFonts w:ascii="Times New Roman" w:hAnsi="Times New Roman" w:cs="Times New Roman"/>
          <w:noProof/>
          <w:sz w:val="24"/>
          <w:szCs w:val="24"/>
        </w:rPr>
      </w:pPr>
      <w:r w:rsidRPr="00807368">
        <w:rPr>
          <w:rFonts w:asciiTheme="majorBidi" w:hAnsiTheme="majorBidi" w:cstheme="majorBidi"/>
          <w:sz w:val="24"/>
          <w:szCs w:val="24"/>
        </w:rPr>
        <w:fldChar w:fldCharType="begin" w:fldLock="1"/>
      </w:r>
      <w:r w:rsidR="00203D49" w:rsidRPr="00807368">
        <w:rPr>
          <w:rFonts w:asciiTheme="majorBidi" w:hAnsiTheme="majorBidi" w:cstheme="majorBidi"/>
          <w:sz w:val="24"/>
          <w:szCs w:val="24"/>
        </w:rPr>
        <w:instrText xml:space="preserve">ADDIN Mendeley Bibliography CSL_BIBLIOGRAPHY </w:instrText>
      </w:r>
      <w:r w:rsidRPr="00807368">
        <w:rPr>
          <w:rFonts w:asciiTheme="majorBidi" w:hAnsiTheme="majorBidi" w:cstheme="majorBidi"/>
          <w:sz w:val="24"/>
          <w:szCs w:val="24"/>
        </w:rPr>
        <w:fldChar w:fldCharType="separate"/>
      </w:r>
      <w:r w:rsidR="00770076" w:rsidRPr="00770076">
        <w:rPr>
          <w:rFonts w:ascii="Times New Roman" w:hAnsi="Times New Roman" w:cs="Times New Roman"/>
          <w:noProof/>
          <w:sz w:val="24"/>
          <w:szCs w:val="24"/>
        </w:rPr>
        <w:t xml:space="preserve">1. </w:t>
      </w:r>
      <w:r w:rsidR="00770076" w:rsidRPr="00770076">
        <w:rPr>
          <w:rFonts w:ascii="Times New Roman" w:hAnsi="Times New Roman" w:cs="Times New Roman"/>
          <w:noProof/>
          <w:sz w:val="24"/>
          <w:szCs w:val="24"/>
        </w:rPr>
        <w:tab/>
        <w:t xml:space="preserve">Stern SA, Kohtz AS, Pollonini G, Alberini CM. Enhancement of memories by systemic administration of insulin-like growth factor II. Neuropsychopharmacology. 2014; 39(9): 2179–90. </w:t>
      </w:r>
    </w:p>
    <w:p w:rsidR="00770076" w:rsidRPr="00770076" w:rsidRDefault="00770076" w:rsidP="00770076">
      <w:pPr>
        <w:widowControl w:val="0"/>
        <w:autoSpaceDE w:val="0"/>
        <w:autoSpaceDN w:val="0"/>
        <w:adjustRightInd w:val="0"/>
        <w:spacing w:line="240" w:lineRule="auto"/>
        <w:ind w:left="640" w:hanging="640"/>
        <w:rPr>
          <w:rFonts w:ascii="Times New Roman" w:hAnsi="Times New Roman" w:cs="Times New Roman"/>
          <w:noProof/>
          <w:sz w:val="24"/>
          <w:szCs w:val="24"/>
        </w:rPr>
      </w:pPr>
      <w:r w:rsidRPr="00770076">
        <w:rPr>
          <w:rFonts w:ascii="Times New Roman" w:hAnsi="Times New Roman" w:cs="Times New Roman"/>
          <w:noProof/>
          <w:sz w:val="24"/>
          <w:szCs w:val="24"/>
        </w:rPr>
        <w:t xml:space="preserve">2. </w:t>
      </w:r>
      <w:r w:rsidRPr="00770076">
        <w:rPr>
          <w:rFonts w:ascii="Times New Roman" w:hAnsi="Times New Roman" w:cs="Times New Roman"/>
          <w:noProof/>
          <w:sz w:val="24"/>
          <w:szCs w:val="24"/>
        </w:rPr>
        <w:tab/>
        <w:t xml:space="preserve">Manno EM. Update on Intracerebral Hemorrhage. Contin Lifelong Learn Neurol. 2012; 18(3): 598–610. </w:t>
      </w:r>
    </w:p>
    <w:p w:rsidR="00770076" w:rsidRPr="00770076" w:rsidRDefault="00770076" w:rsidP="00770076">
      <w:pPr>
        <w:widowControl w:val="0"/>
        <w:autoSpaceDE w:val="0"/>
        <w:autoSpaceDN w:val="0"/>
        <w:adjustRightInd w:val="0"/>
        <w:spacing w:line="240" w:lineRule="auto"/>
        <w:ind w:left="640" w:hanging="640"/>
        <w:rPr>
          <w:rFonts w:ascii="Times New Roman" w:hAnsi="Times New Roman" w:cs="Times New Roman"/>
          <w:noProof/>
          <w:sz w:val="24"/>
          <w:szCs w:val="24"/>
        </w:rPr>
      </w:pPr>
      <w:r w:rsidRPr="00770076">
        <w:rPr>
          <w:rFonts w:ascii="Times New Roman" w:hAnsi="Times New Roman" w:cs="Times New Roman"/>
          <w:noProof/>
          <w:sz w:val="24"/>
          <w:szCs w:val="24"/>
        </w:rPr>
        <w:t xml:space="preserve">3. </w:t>
      </w:r>
      <w:r w:rsidRPr="00770076">
        <w:rPr>
          <w:rFonts w:ascii="Times New Roman" w:hAnsi="Times New Roman" w:cs="Times New Roman"/>
          <w:noProof/>
          <w:sz w:val="24"/>
          <w:szCs w:val="24"/>
        </w:rPr>
        <w:tab/>
        <w:t xml:space="preserve">Rynkowski MA, Kim GH, Komotar RJ, Otten ML, Ducruet AF, Zacharia BE, et al. A mouse model of intracerebral hemorrhage using autologous blood infusion. Nat Protoc. 2008; 3(1): 122–8. </w:t>
      </w:r>
    </w:p>
    <w:p w:rsidR="00770076" w:rsidRPr="00770076" w:rsidRDefault="00770076" w:rsidP="00770076">
      <w:pPr>
        <w:widowControl w:val="0"/>
        <w:autoSpaceDE w:val="0"/>
        <w:autoSpaceDN w:val="0"/>
        <w:adjustRightInd w:val="0"/>
        <w:spacing w:line="240" w:lineRule="auto"/>
        <w:ind w:left="640" w:hanging="640"/>
        <w:rPr>
          <w:rFonts w:ascii="Times New Roman" w:hAnsi="Times New Roman" w:cs="Times New Roman"/>
          <w:noProof/>
          <w:sz w:val="24"/>
          <w:szCs w:val="24"/>
        </w:rPr>
      </w:pPr>
      <w:r w:rsidRPr="00770076">
        <w:rPr>
          <w:rFonts w:ascii="Times New Roman" w:hAnsi="Times New Roman" w:cs="Times New Roman"/>
          <w:noProof/>
          <w:sz w:val="24"/>
          <w:szCs w:val="24"/>
        </w:rPr>
        <w:t xml:space="preserve">4. </w:t>
      </w:r>
      <w:r w:rsidRPr="00770076">
        <w:rPr>
          <w:rFonts w:ascii="Times New Roman" w:hAnsi="Times New Roman" w:cs="Times New Roman"/>
          <w:noProof/>
          <w:sz w:val="24"/>
          <w:szCs w:val="24"/>
        </w:rPr>
        <w:tab/>
        <w:t xml:space="preserve">Zhou L, Liu C, Wang Z, Shen H, Wen Z, Chen D, et al. Pannexin-1 is involved in neuronal apoptosis and degeneration in experimental intracerebral hemorrhage in rats. Mol Med Rep. 2018; 17(4): 5684–91. </w:t>
      </w:r>
    </w:p>
    <w:p w:rsidR="00770076" w:rsidRPr="00770076" w:rsidRDefault="00770076" w:rsidP="00770076">
      <w:pPr>
        <w:widowControl w:val="0"/>
        <w:autoSpaceDE w:val="0"/>
        <w:autoSpaceDN w:val="0"/>
        <w:adjustRightInd w:val="0"/>
        <w:spacing w:line="240" w:lineRule="auto"/>
        <w:ind w:left="640" w:hanging="640"/>
        <w:rPr>
          <w:rFonts w:ascii="Times New Roman" w:hAnsi="Times New Roman" w:cs="Times New Roman"/>
          <w:noProof/>
          <w:sz w:val="24"/>
          <w:szCs w:val="24"/>
        </w:rPr>
      </w:pPr>
      <w:r w:rsidRPr="00770076">
        <w:rPr>
          <w:rFonts w:ascii="Times New Roman" w:hAnsi="Times New Roman" w:cs="Times New Roman"/>
          <w:noProof/>
          <w:sz w:val="24"/>
          <w:szCs w:val="24"/>
        </w:rPr>
        <w:t xml:space="preserve">5. </w:t>
      </w:r>
      <w:r w:rsidRPr="00770076">
        <w:rPr>
          <w:rFonts w:ascii="Times New Roman" w:hAnsi="Times New Roman" w:cs="Times New Roman"/>
          <w:noProof/>
          <w:sz w:val="24"/>
          <w:szCs w:val="24"/>
        </w:rPr>
        <w:tab/>
        <w:t xml:space="preserve">Evans MA, Kim HA, Ling YH, Uong S, Vinh A, De Silva TM, et al. Vitamin D3 Supplementation Reduces Subsequent Brain Injury and Inflammation Associated with Ischemic Stroke. NeuroMolecular Med. 2018; 20(1): 147–59. </w:t>
      </w:r>
    </w:p>
    <w:p w:rsidR="00770076" w:rsidRPr="00770076" w:rsidRDefault="00770076" w:rsidP="00770076">
      <w:pPr>
        <w:widowControl w:val="0"/>
        <w:autoSpaceDE w:val="0"/>
        <w:autoSpaceDN w:val="0"/>
        <w:adjustRightInd w:val="0"/>
        <w:spacing w:line="240" w:lineRule="auto"/>
        <w:ind w:left="640" w:hanging="640"/>
        <w:rPr>
          <w:rFonts w:ascii="Times New Roman" w:hAnsi="Times New Roman" w:cs="Times New Roman"/>
          <w:noProof/>
          <w:sz w:val="24"/>
          <w:szCs w:val="24"/>
        </w:rPr>
      </w:pPr>
      <w:r w:rsidRPr="00770076">
        <w:rPr>
          <w:rFonts w:ascii="Times New Roman" w:hAnsi="Times New Roman" w:cs="Times New Roman"/>
          <w:noProof/>
          <w:sz w:val="24"/>
          <w:szCs w:val="24"/>
        </w:rPr>
        <w:t xml:space="preserve">6. </w:t>
      </w:r>
      <w:r w:rsidRPr="00770076">
        <w:rPr>
          <w:rFonts w:ascii="Times New Roman" w:hAnsi="Times New Roman" w:cs="Times New Roman"/>
          <w:noProof/>
          <w:sz w:val="24"/>
          <w:szCs w:val="24"/>
        </w:rPr>
        <w:tab/>
        <w:t xml:space="preserve">Guerra GP, Mello CF, Bochi GV, Pazini AM, Fachinetto R, Dutra RC, et al. Hippocampal PKA/CREB pathway is involved in the improvement of memory induced by spermidine in rats. Neurobiol Learn Mem. 2011; 96(2): 324–32. </w:t>
      </w:r>
    </w:p>
    <w:p w:rsidR="00770076" w:rsidRPr="00770076" w:rsidRDefault="00770076" w:rsidP="00770076">
      <w:pPr>
        <w:widowControl w:val="0"/>
        <w:autoSpaceDE w:val="0"/>
        <w:autoSpaceDN w:val="0"/>
        <w:adjustRightInd w:val="0"/>
        <w:spacing w:line="240" w:lineRule="auto"/>
        <w:ind w:left="640" w:hanging="640"/>
        <w:rPr>
          <w:rFonts w:ascii="Times New Roman" w:hAnsi="Times New Roman" w:cs="Times New Roman"/>
          <w:noProof/>
          <w:sz w:val="24"/>
          <w:szCs w:val="24"/>
        </w:rPr>
      </w:pPr>
      <w:r w:rsidRPr="00770076">
        <w:rPr>
          <w:rFonts w:ascii="Times New Roman" w:hAnsi="Times New Roman" w:cs="Times New Roman"/>
          <w:noProof/>
          <w:sz w:val="24"/>
          <w:szCs w:val="24"/>
        </w:rPr>
        <w:t xml:space="preserve">7. </w:t>
      </w:r>
      <w:r w:rsidRPr="00770076">
        <w:rPr>
          <w:rFonts w:ascii="Times New Roman" w:hAnsi="Times New Roman" w:cs="Times New Roman"/>
          <w:noProof/>
          <w:sz w:val="24"/>
          <w:szCs w:val="24"/>
        </w:rPr>
        <w:tab/>
        <w:t xml:space="preserve">Alberini CM. Transcription Factors in Long-Term Memory and Synaptic Plasticity. Physiol Rev. 2009; 89(1): 121–45. </w:t>
      </w:r>
    </w:p>
    <w:p w:rsidR="00770076" w:rsidRPr="00770076" w:rsidRDefault="00770076" w:rsidP="00770076">
      <w:pPr>
        <w:widowControl w:val="0"/>
        <w:autoSpaceDE w:val="0"/>
        <w:autoSpaceDN w:val="0"/>
        <w:adjustRightInd w:val="0"/>
        <w:spacing w:line="240" w:lineRule="auto"/>
        <w:ind w:left="640" w:hanging="640"/>
        <w:rPr>
          <w:rFonts w:ascii="Times New Roman" w:hAnsi="Times New Roman" w:cs="Times New Roman"/>
          <w:noProof/>
          <w:sz w:val="24"/>
          <w:szCs w:val="24"/>
        </w:rPr>
      </w:pPr>
      <w:r w:rsidRPr="00770076">
        <w:rPr>
          <w:rFonts w:ascii="Times New Roman" w:hAnsi="Times New Roman" w:cs="Times New Roman"/>
          <w:noProof/>
          <w:sz w:val="24"/>
          <w:szCs w:val="24"/>
        </w:rPr>
        <w:t xml:space="preserve">8. </w:t>
      </w:r>
      <w:r w:rsidRPr="00770076">
        <w:rPr>
          <w:rFonts w:ascii="Times New Roman" w:hAnsi="Times New Roman" w:cs="Times New Roman"/>
          <w:noProof/>
          <w:sz w:val="24"/>
          <w:szCs w:val="24"/>
        </w:rPr>
        <w:tab/>
        <w:t xml:space="preserve">Bartsch D, Casadio A, Karl KA, Serodio P, Kandel ER. CREB1 encodes a nuclear activator, a repressor, and a cytoplasmic modulator that form a regulatory unit critical for long-term facilitation. Cell. 1998; 95(2): 211–23. </w:t>
      </w:r>
    </w:p>
    <w:p w:rsidR="00770076" w:rsidRPr="00770076" w:rsidRDefault="00770076" w:rsidP="00770076">
      <w:pPr>
        <w:widowControl w:val="0"/>
        <w:autoSpaceDE w:val="0"/>
        <w:autoSpaceDN w:val="0"/>
        <w:adjustRightInd w:val="0"/>
        <w:spacing w:line="240" w:lineRule="auto"/>
        <w:ind w:left="640" w:hanging="640"/>
        <w:rPr>
          <w:rFonts w:ascii="Times New Roman" w:hAnsi="Times New Roman" w:cs="Times New Roman"/>
          <w:noProof/>
          <w:sz w:val="24"/>
          <w:szCs w:val="24"/>
        </w:rPr>
      </w:pPr>
      <w:r w:rsidRPr="00770076">
        <w:rPr>
          <w:rFonts w:ascii="Times New Roman" w:hAnsi="Times New Roman" w:cs="Times New Roman"/>
          <w:noProof/>
          <w:sz w:val="24"/>
          <w:szCs w:val="24"/>
        </w:rPr>
        <w:t xml:space="preserve">9. </w:t>
      </w:r>
      <w:r w:rsidRPr="00770076">
        <w:rPr>
          <w:rFonts w:ascii="Times New Roman" w:hAnsi="Times New Roman" w:cs="Times New Roman"/>
          <w:noProof/>
          <w:sz w:val="24"/>
          <w:szCs w:val="24"/>
        </w:rPr>
        <w:tab/>
        <w:t xml:space="preserve">Alberini CM, Ghirardi M, Metz R, Kandel ER. C/EBP is an immediate-early gene required for the consolidation of long-term facilitation in Aplysia. Cell. 1994; 76(6): 1099–114. </w:t>
      </w:r>
    </w:p>
    <w:p w:rsidR="00770076" w:rsidRPr="00770076" w:rsidRDefault="00770076" w:rsidP="00770076">
      <w:pPr>
        <w:widowControl w:val="0"/>
        <w:autoSpaceDE w:val="0"/>
        <w:autoSpaceDN w:val="0"/>
        <w:adjustRightInd w:val="0"/>
        <w:spacing w:line="240" w:lineRule="auto"/>
        <w:ind w:left="640" w:hanging="640"/>
        <w:rPr>
          <w:rFonts w:ascii="Times New Roman" w:hAnsi="Times New Roman" w:cs="Times New Roman"/>
          <w:noProof/>
          <w:sz w:val="24"/>
          <w:szCs w:val="24"/>
        </w:rPr>
      </w:pPr>
      <w:r w:rsidRPr="00770076">
        <w:rPr>
          <w:rFonts w:ascii="Times New Roman" w:hAnsi="Times New Roman" w:cs="Times New Roman"/>
          <w:noProof/>
          <w:sz w:val="24"/>
          <w:szCs w:val="24"/>
        </w:rPr>
        <w:t xml:space="preserve">10. </w:t>
      </w:r>
      <w:r w:rsidRPr="00770076">
        <w:rPr>
          <w:rFonts w:ascii="Times New Roman" w:hAnsi="Times New Roman" w:cs="Times New Roman"/>
          <w:noProof/>
          <w:sz w:val="24"/>
          <w:szCs w:val="24"/>
        </w:rPr>
        <w:tab/>
        <w:t xml:space="preserve">Chen DY, Stern SA, Garcia-Osta A, Saunier-Rebori B, Pollonini G, Bambah-Mukku D, et al. A critical role for IGF-II in memory consolidation and enhancement. Nature. 2011; 469(7331): 491–9. </w:t>
      </w:r>
    </w:p>
    <w:p w:rsidR="00770076" w:rsidRPr="00770076" w:rsidRDefault="00770076" w:rsidP="00770076">
      <w:pPr>
        <w:widowControl w:val="0"/>
        <w:autoSpaceDE w:val="0"/>
        <w:autoSpaceDN w:val="0"/>
        <w:adjustRightInd w:val="0"/>
        <w:spacing w:line="240" w:lineRule="auto"/>
        <w:ind w:left="640" w:hanging="640"/>
        <w:rPr>
          <w:rFonts w:ascii="Times New Roman" w:hAnsi="Times New Roman" w:cs="Times New Roman"/>
          <w:noProof/>
          <w:sz w:val="24"/>
          <w:szCs w:val="24"/>
        </w:rPr>
      </w:pPr>
      <w:r w:rsidRPr="00770076">
        <w:rPr>
          <w:rFonts w:ascii="Times New Roman" w:hAnsi="Times New Roman" w:cs="Times New Roman"/>
          <w:noProof/>
          <w:sz w:val="24"/>
          <w:szCs w:val="24"/>
        </w:rPr>
        <w:t xml:space="preserve">11. </w:t>
      </w:r>
      <w:r w:rsidRPr="00770076">
        <w:rPr>
          <w:rFonts w:ascii="Times New Roman" w:hAnsi="Times New Roman" w:cs="Times New Roman"/>
          <w:noProof/>
          <w:sz w:val="24"/>
          <w:szCs w:val="24"/>
        </w:rPr>
        <w:tab/>
        <w:t xml:space="preserve">Fernandez AM, Torres-Alemán I. The many faces of insulin-like peptide signalling in the brain. Nat Rev Neurosci. 2012; 13(4): 225–39. </w:t>
      </w:r>
    </w:p>
    <w:p w:rsidR="00770076" w:rsidRPr="00770076" w:rsidRDefault="00770076" w:rsidP="00770076">
      <w:pPr>
        <w:widowControl w:val="0"/>
        <w:autoSpaceDE w:val="0"/>
        <w:autoSpaceDN w:val="0"/>
        <w:adjustRightInd w:val="0"/>
        <w:spacing w:line="240" w:lineRule="auto"/>
        <w:ind w:left="640" w:hanging="640"/>
        <w:rPr>
          <w:rFonts w:ascii="Times New Roman" w:hAnsi="Times New Roman" w:cs="Times New Roman"/>
          <w:noProof/>
          <w:sz w:val="24"/>
          <w:szCs w:val="24"/>
        </w:rPr>
      </w:pPr>
      <w:r w:rsidRPr="00770076">
        <w:rPr>
          <w:rFonts w:ascii="Times New Roman" w:hAnsi="Times New Roman" w:cs="Times New Roman"/>
          <w:noProof/>
          <w:sz w:val="24"/>
          <w:szCs w:val="24"/>
        </w:rPr>
        <w:t xml:space="preserve">12. </w:t>
      </w:r>
      <w:r w:rsidRPr="00770076">
        <w:rPr>
          <w:rFonts w:ascii="Times New Roman" w:hAnsi="Times New Roman" w:cs="Times New Roman"/>
          <w:noProof/>
          <w:sz w:val="24"/>
          <w:szCs w:val="24"/>
        </w:rPr>
        <w:tab/>
        <w:t xml:space="preserve">Kihara T, Shimohama S. Alzheimer’s disease and acetylcholine receptors. Acta Neurobiol Exp (Wars). 2004; 64(1): 99–105. </w:t>
      </w:r>
    </w:p>
    <w:p w:rsidR="00770076" w:rsidRPr="00770076" w:rsidRDefault="00770076" w:rsidP="00770076">
      <w:pPr>
        <w:widowControl w:val="0"/>
        <w:autoSpaceDE w:val="0"/>
        <w:autoSpaceDN w:val="0"/>
        <w:adjustRightInd w:val="0"/>
        <w:spacing w:line="240" w:lineRule="auto"/>
        <w:ind w:left="640" w:hanging="640"/>
        <w:rPr>
          <w:rFonts w:ascii="Times New Roman" w:hAnsi="Times New Roman" w:cs="Times New Roman"/>
          <w:noProof/>
          <w:sz w:val="24"/>
          <w:szCs w:val="24"/>
        </w:rPr>
      </w:pPr>
      <w:r w:rsidRPr="00770076">
        <w:rPr>
          <w:rFonts w:ascii="Times New Roman" w:hAnsi="Times New Roman" w:cs="Times New Roman"/>
          <w:noProof/>
          <w:sz w:val="24"/>
          <w:szCs w:val="24"/>
        </w:rPr>
        <w:t xml:space="preserve">13. </w:t>
      </w:r>
      <w:r w:rsidRPr="00770076">
        <w:rPr>
          <w:rFonts w:ascii="Times New Roman" w:hAnsi="Times New Roman" w:cs="Times New Roman"/>
          <w:noProof/>
          <w:sz w:val="24"/>
          <w:szCs w:val="24"/>
        </w:rPr>
        <w:tab/>
        <w:t xml:space="preserve">Grotta J, Clark W, Coull B, Pettigrew LC, Mackay B, Goldstein LB, et al. Safety and tolerability of the glutamate antagonist CGS 19755 (Selfotel) in patients with acute ischemic stroke. Results of a phase IIa randomized trial. Stroke. 1995; 26(4): 602–5. </w:t>
      </w:r>
    </w:p>
    <w:p w:rsidR="00770076" w:rsidRPr="00770076" w:rsidRDefault="00770076" w:rsidP="00770076">
      <w:pPr>
        <w:widowControl w:val="0"/>
        <w:autoSpaceDE w:val="0"/>
        <w:autoSpaceDN w:val="0"/>
        <w:adjustRightInd w:val="0"/>
        <w:spacing w:line="240" w:lineRule="auto"/>
        <w:ind w:left="640" w:hanging="640"/>
        <w:rPr>
          <w:rFonts w:ascii="Times New Roman" w:hAnsi="Times New Roman" w:cs="Times New Roman"/>
          <w:noProof/>
          <w:sz w:val="24"/>
          <w:szCs w:val="24"/>
        </w:rPr>
      </w:pPr>
      <w:r w:rsidRPr="00770076">
        <w:rPr>
          <w:rFonts w:ascii="Times New Roman" w:hAnsi="Times New Roman" w:cs="Times New Roman"/>
          <w:noProof/>
          <w:sz w:val="24"/>
          <w:szCs w:val="24"/>
        </w:rPr>
        <w:lastRenderedPageBreak/>
        <w:t xml:space="preserve">14. </w:t>
      </w:r>
      <w:r w:rsidRPr="00770076">
        <w:rPr>
          <w:rFonts w:ascii="Times New Roman" w:hAnsi="Times New Roman" w:cs="Times New Roman"/>
          <w:noProof/>
          <w:sz w:val="24"/>
          <w:szCs w:val="24"/>
        </w:rPr>
        <w:tab/>
        <w:t xml:space="preserve">Davis SM, Lees KR, Albers GW, Diener HC, Markabi S, Karlsson G, et al. Selfotel in acute ischemic stroke : possible neurotoxic effects of an NMDA antagonist. Stroke. 2000; 31(2): 347–54. </w:t>
      </w:r>
    </w:p>
    <w:p w:rsidR="00770076" w:rsidRPr="00770076" w:rsidRDefault="00770076" w:rsidP="00770076">
      <w:pPr>
        <w:widowControl w:val="0"/>
        <w:autoSpaceDE w:val="0"/>
        <w:autoSpaceDN w:val="0"/>
        <w:adjustRightInd w:val="0"/>
        <w:spacing w:line="240" w:lineRule="auto"/>
        <w:ind w:left="640" w:hanging="640"/>
        <w:rPr>
          <w:rFonts w:ascii="Times New Roman" w:hAnsi="Times New Roman" w:cs="Times New Roman"/>
          <w:noProof/>
          <w:sz w:val="24"/>
          <w:szCs w:val="24"/>
        </w:rPr>
      </w:pPr>
      <w:r w:rsidRPr="00770076">
        <w:rPr>
          <w:rFonts w:ascii="Times New Roman" w:hAnsi="Times New Roman" w:cs="Times New Roman"/>
          <w:noProof/>
          <w:sz w:val="24"/>
          <w:szCs w:val="24"/>
        </w:rPr>
        <w:t xml:space="preserve">15. </w:t>
      </w:r>
      <w:r w:rsidRPr="00770076">
        <w:rPr>
          <w:rFonts w:ascii="Times New Roman" w:hAnsi="Times New Roman" w:cs="Times New Roman"/>
          <w:noProof/>
          <w:sz w:val="24"/>
          <w:szCs w:val="24"/>
        </w:rPr>
        <w:tab/>
        <w:t xml:space="preserve">Schmeisser MJ, Baumann B, Johannsen S, Vindedal GF, Jensen V, Hvalby OC, et al. I B Kinase/Nuclear Factor  B-Dependent Insulin-Like Growth Factor 2 (Igf2) Expression Regulates Synapse Formation and Spine Maturation via Igf2 Receptor Signaling. J Neurosci. 2012; 32(16): 5688–703. </w:t>
      </w:r>
    </w:p>
    <w:p w:rsidR="00770076" w:rsidRPr="00770076" w:rsidRDefault="00770076" w:rsidP="00770076">
      <w:pPr>
        <w:widowControl w:val="0"/>
        <w:autoSpaceDE w:val="0"/>
        <w:autoSpaceDN w:val="0"/>
        <w:adjustRightInd w:val="0"/>
        <w:spacing w:line="240" w:lineRule="auto"/>
        <w:ind w:left="640" w:hanging="640"/>
        <w:rPr>
          <w:rFonts w:ascii="Times New Roman" w:hAnsi="Times New Roman" w:cs="Times New Roman"/>
          <w:noProof/>
          <w:sz w:val="24"/>
          <w:szCs w:val="24"/>
        </w:rPr>
      </w:pPr>
      <w:r w:rsidRPr="00770076">
        <w:rPr>
          <w:rFonts w:ascii="Times New Roman" w:hAnsi="Times New Roman" w:cs="Times New Roman"/>
          <w:noProof/>
          <w:sz w:val="24"/>
          <w:szCs w:val="24"/>
        </w:rPr>
        <w:t xml:space="preserve">16. </w:t>
      </w:r>
      <w:r w:rsidRPr="00770076">
        <w:rPr>
          <w:rFonts w:ascii="Times New Roman" w:hAnsi="Times New Roman" w:cs="Times New Roman"/>
          <w:noProof/>
          <w:sz w:val="24"/>
          <w:szCs w:val="24"/>
        </w:rPr>
        <w:tab/>
        <w:t xml:space="preserve">Suh H-S, Zhao M-L, Derico L, Choi N, Lee SC. Insulin-like growth factor 1 and 2 (IGF1, IGF2) expression in human microglia: differential regulation by inflammatory mediators. J Neuroinflammation. 2013; 10(1): 805. </w:t>
      </w:r>
    </w:p>
    <w:p w:rsidR="00770076" w:rsidRPr="00770076" w:rsidRDefault="00770076" w:rsidP="00770076">
      <w:pPr>
        <w:widowControl w:val="0"/>
        <w:autoSpaceDE w:val="0"/>
        <w:autoSpaceDN w:val="0"/>
        <w:adjustRightInd w:val="0"/>
        <w:spacing w:line="240" w:lineRule="auto"/>
        <w:ind w:left="640" w:hanging="640"/>
        <w:rPr>
          <w:rFonts w:ascii="Times New Roman" w:hAnsi="Times New Roman" w:cs="Times New Roman"/>
          <w:noProof/>
          <w:sz w:val="24"/>
          <w:szCs w:val="24"/>
        </w:rPr>
      </w:pPr>
      <w:r w:rsidRPr="00770076">
        <w:rPr>
          <w:rFonts w:ascii="Times New Roman" w:hAnsi="Times New Roman" w:cs="Times New Roman"/>
          <w:noProof/>
          <w:sz w:val="24"/>
          <w:szCs w:val="24"/>
        </w:rPr>
        <w:t xml:space="preserve">17. </w:t>
      </w:r>
      <w:r w:rsidRPr="00770076">
        <w:rPr>
          <w:rFonts w:ascii="Times New Roman" w:hAnsi="Times New Roman" w:cs="Times New Roman"/>
          <w:noProof/>
          <w:sz w:val="24"/>
          <w:szCs w:val="24"/>
        </w:rPr>
        <w:tab/>
        <w:t xml:space="preserve">Sierra A, Beccari S, Diaz-Aparicio I, Encinas JM, Comeau S, Tremblay M-È. Surveillance, Phagocytosis, and Inflammation: How Never-Resting Microglia Influence Adult Hippocampal Neurogenesis. Neural Plast. 2014; 2014: 1–15. </w:t>
      </w:r>
    </w:p>
    <w:p w:rsidR="00770076" w:rsidRPr="00770076" w:rsidRDefault="00770076" w:rsidP="00770076">
      <w:pPr>
        <w:widowControl w:val="0"/>
        <w:autoSpaceDE w:val="0"/>
        <w:autoSpaceDN w:val="0"/>
        <w:adjustRightInd w:val="0"/>
        <w:spacing w:line="240" w:lineRule="auto"/>
        <w:ind w:left="640" w:hanging="640"/>
        <w:rPr>
          <w:rFonts w:ascii="Times New Roman" w:hAnsi="Times New Roman" w:cs="Times New Roman"/>
          <w:noProof/>
          <w:sz w:val="24"/>
          <w:szCs w:val="24"/>
        </w:rPr>
      </w:pPr>
      <w:r w:rsidRPr="00770076">
        <w:rPr>
          <w:rFonts w:ascii="Times New Roman" w:hAnsi="Times New Roman" w:cs="Times New Roman"/>
          <w:noProof/>
          <w:sz w:val="24"/>
          <w:szCs w:val="24"/>
        </w:rPr>
        <w:t xml:space="preserve">18. </w:t>
      </w:r>
      <w:r w:rsidRPr="00770076">
        <w:rPr>
          <w:rFonts w:ascii="Times New Roman" w:hAnsi="Times New Roman" w:cs="Times New Roman"/>
          <w:noProof/>
          <w:sz w:val="24"/>
          <w:szCs w:val="24"/>
        </w:rPr>
        <w:tab/>
        <w:t xml:space="preserve">Parasuraman S, Raveendran R, Kesavan R. Blood sample collection in small laboratory animals. J Pharmacol Pharmacother. 2010; 1(2): 87–93. </w:t>
      </w:r>
    </w:p>
    <w:p w:rsidR="00770076" w:rsidRPr="00770076" w:rsidRDefault="00770076" w:rsidP="00770076">
      <w:pPr>
        <w:widowControl w:val="0"/>
        <w:autoSpaceDE w:val="0"/>
        <w:autoSpaceDN w:val="0"/>
        <w:adjustRightInd w:val="0"/>
        <w:spacing w:line="240" w:lineRule="auto"/>
        <w:ind w:left="640" w:hanging="640"/>
        <w:rPr>
          <w:rFonts w:ascii="Times New Roman" w:hAnsi="Times New Roman" w:cs="Times New Roman"/>
          <w:noProof/>
          <w:sz w:val="24"/>
          <w:szCs w:val="24"/>
        </w:rPr>
      </w:pPr>
      <w:r w:rsidRPr="00770076">
        <w:rPr>
          <w:rFonts w:ascii="Times New Roman" w:hAnsi="Times New Roman" w:cs="Times New Roman"/>
          <w:noProof/>
          <w:sz w:val="24"/>
          <w:szCs w:val="24"/>
        </w:rPr>
        <w:t xml:space="preserve">19. </w:t>
      </w:r>
      <w:r w:rsidRPr="00770076">
        <w:rPr>
          <w:rFonts w:ascii="Times New Roman" w:hAnsi="Times New Roman" w:cs="Times New Roman"/>
          <w:noProof/>
          <w:sz w:val="24"/>
          <w:szCs w:val="24"/>
        </w:rPr>
        <w:tab/>
        <w:t xml:space="preserve">Geiger BM, Frank LE, Caldera-Siu AD, Pothos EN. Survivable stereotaxic surgery in rodents. J Vis Exp. 2008; (20). </w:t>
      </w:r>
    </w:p>
    <w:p w:rsidR="00770076" w:rsidRPr="00770076" w:rsidRDefault="00770076" w:rsidP="00770076">
      <w:pPr>
        <w:widowControl w:val="0"/>
        <w:autoSpaceDE w:val="0"/>
        <w:autoSpaceDN w:val="0"/>
        <w:adjustRightInd w:val="0"/>
        <w:spacing w:line="240" w:lineRule="auto"/>
        <w:ind w:left="640" w:hanging="640"/>
        <w:rPr>
          <w:rFonts w:ascii="Times New Roman" w:hAnsi="Times New Roman" w:cs="Times New Roman"/>
          <w:noProof/>
          <w:sz w:val="24"/>
          <w:szCs w:val="24"/>
        </w:rPr>
      </w:pPr>
      <w:r w:rsidRPr="00770076">
        <w:rPr>
          <w:rFonts w:ascii="Times New Roman" w:hAnsi="Times New Roman" w:cs="Times New Roman"/>
          <w:noProof/>
          <w:sz w:val="24"/>
          <w:szCs w:val="24"/>
        </w:rPr>
        <w:t xml:space="preserve">20. </w:t>
      </w:r>
      <w:r w:rsidRPr="00770076">
        <w:rPr>
          <w:rFonts w:ascii="Times New Roman" w:hAnsi="Times New Roman" w:cs="Times New Roman"/>
          <w:noProof/>
          <w:sz w:val="24"/>
          <w:szCs w:val="24"/>
        </w:rPr>
        <w:tab/>
        <w:t xml:space="preserve">Krafft PR, Rolland WB, Duris K, Lekic T, Campbell A, Tang J, et al. Modeling Intracerebral Hemorrhage in Mice: Injection of Autologous Blood or Bacterial Collagenase. J Vis Exp. 2012; (67): e4289. </w:t>
      </w:r>
    </w:p>
    <w:p w:rsidR="00770076" w:rsidRPr="00770076" w:rsidRDefault="00770076" w:rsidP="00770076">
      <w:pPr>
        <w:widowControl w:val="0"/>
        <w:autoSpaceDE w:val="0"/>
        <w:autoSpaceDN w:val="0"/>
        <w:adjustRightInd w:val="0"/>
        <w:spacing w:line="240" w:lineRule="auto"/>
        <w:ind w:left="640" w:hanging="640"/>
        <w:rPr>
          <w:rFonts w:ascii="Times New Roman" w:hAnsi="Times New Roman" w:cs="Times New Roman"/>
          <w:noProof/>
          <w:sz w:val="24"/>
          <w:szCs w:val="24"/>
        </w:rPr>
      </w:pPr>
      <w:r w:rsidRPr="00770076">
        <w:rPr>
          <w:rFonts w:ascii="Times New Roman" w:hAnsi="Times New Roman" w:cs="Times New Roman"/>
          <w:noProof/>
          <w:sz w:val="24"/>
          <w:szCs w:val="24"/>
        </w:rPr>
        <w:t xml:space="preserve">21. </w:t>
      </w:r>
      <w:r w:rsidRPr="00770076">
        <w:rPr>
          <w:rFonts w:ascii="Times New Roman" w:hAnsi="Times New Roman" w:cs="Times New Roman"/>
          <w:noProof/>
          <w:sz w:val="24"/>
          <w:szCs w:val="24"/>
        </w:rPr>
        <w:tab/>
        <w:t xml:space="preserve">Wen Z, Mei B, Li H, Dou Y, Tian X, Shen M, et al. P2X7 Participates in Intracerebral Hemorrhage-Induced Secondary Brain Injury in Rats via MAPKs Signaling Pathways. Neurochem Res. 2017; 42(8): 2372–83. </w:t>
      </w:r>
    </w:p>
    <w:p w:rsidR="00770076" w:rsidRPr="00770076" w:rsidRDefault="00770076" w:rsidP="00770076">
      <w:pPr>
        <w:widowControl w:val="0"/>
        <w:autoSpaceDE w:val="0"/>
        <w:autoSpaceDN w:val="0"/>
        <w:adjustRightInd w:val="0"/>
        <w:spacing w:line="240" w:lineRule="auto"/>
        <w:ind w:left="640" w:hanging="640"/>
        <w:rPr>
          <w:rFonts w:ascii="Times New Roman" w:hAnsi="Times New Roman" w:cs="Times New Roman"/>
          <w:noProof/>
          <w:sz w:val="24"/>
          <w:szCs w:val="24"/>
        </w:rPr>
      </w:pPr>
      <w:r w:rsidRPr="00770076">
        <w:rPr>
          <w:rFonts w:ascii="Times New Roman" w:hAnsi="Times New Roman" w:cs="Times New Roman"/>
          <w:noProof/>
          <w:sz w:val="24"/>
          <w:szCs w:val="24"/>
        </w:rPr>
        <w:t xml:space="preserve">22. </w:t>
      </w:r>
      <w:r w:rsidRPr="00770076">
        <w:rPr>
          <w:rFonts w:ascii="Times New Roman" w:hAnsi="Times New Roman" w:cs="Times New Roman"/>
          <w:noProof/>
          <w:sz w:val="24"/>
          <w:szCs w:val="24"/>
        </w:rPr>
        <w:tab/>
        <w:t xml:space="preserve">Sansing LH, Kasner SE, McCullough L, Agarwal P, Welsh FA, Kariko K. Autologous Blood Injection to Model Spontaneous Intracerebral Hemorrhage in Mice. J Vis Exp. 2011; (54). </w:t>
      </w:r>
    </w:p>
    <w:p w:rsidR="00770076" w:rsidRPr="00770076" w:rsidRDefault="00770076" w:rsidP="00770076">
      <w:pPr>
        <w:widowControl w:val="0"/>
        <w:autoSpaceDE w:val="0"/>
        <w:autoSpaceDN w:val="0"/>
        <w:adjustRightInd w:val="0"/>
        <w:spacing w:line="240" w:lineRule="auto"/>
        <w:ind w:left="640" w:hanging="640"/>
        <w:rPr>
          <w:rFonts w:ascii="Times New Roman" w:hAnsi="Times New Roman" w:cs="Times New Roman"/>
          <w:noProof/>
          <w:sz w:val="24"/>
          <w:szCs w:val="24"/>
        </w:rPr>
      </w:pPr>
      <w:r w:rsidRPr="00770076">
        <w:rPr>
          <w:rFonts w:ascii="Times New Roman" w:hAnsi="Times New Roman" w:cs="Times New Roman"/>
          <w:noProof/>
          <w:sz w:val="24"/>
          <w:szCs w:val="24"/>
        </w:rPr>
        <w:t xml:space="preserve">23. </w:t>
      </w:r>
      <w:r w:rsidRPr="00770076">
        <w:rPr>
          <w:rFonts w:ascii="Times New Roman" w:hAnsi="Times New Roman" w:cs="Times New Roman"/>
          <w:noProof/>
          <w:sz w:val="24"/>
          <w:szCs w:val="24"/>
        </w:rPr>
        <w:tab/>
        <w:t xml:space="preserve">Garcia JH, Wagner S, Liu KF, Hu XJ. Neurological deficit and extent of neuronal necrosis attributable to middle cerebral artery occlusion in rats. Statistical validation. Stroke. 1995; 26(4): 627–34; discussion 635. </w:t>
      </w:r>
    </w:p>
    <w:p w:rsidR="00770076" w:rsidRPr="00770076" w:rsidRDefault="00770076" w:rsidP="00770076">
      <w:pPr>
        <w:widowControl w:val="0"/>
        <w:autoSpaceDE w:val="0"/>
        <w:autoSpaceDN w:val="0"/>
        <w:adjustRightInd w:val="0"/>
        <w:spacing w:line="240" w:lineRule="auto"/>
        <w:ind w:left="640" w:hanging="640"/>
        <w:rPr>
          <w:rFonts w:ascii="Times New Roman" w:hAnsi="Times New Roman" w:cs="Times New Roman"/>
          <w:noProof/>
          <w:sz w:val="24"/>
          <w:szCs w:val="24"/>
        </w:rPr>
      </w:pPr>
      <w:r w:rsidRPr="00770076">
        <w:rPr>
          <w:rFonts w:ascii="Times New Roman" w:hAnsi="Times New Roman" w:cs="Times New Roman"/>
          <w:noProof/>
          <w:sz w:val="24"/>
          <w:szCs w:val="24"/>
        </w:rPr>
        <w:t xml:space="preserve">24. </w:t>
      </w:r>
      <w:r w:rsidRPr="00770076">
        <w:rPr>
          <w:rFonts w:ascii="Times New Roman" w:hAnsi="Times New Roman" w:cs="Times New Roman"/>
          <w:noProof/>
          <w:sz w:val="24"/>
          <w:szCs w:val="24"/>
        </w:rPr>
        <w:tab/>
        <w:t xml:space="preserve">Liu H, Sun X, Zou W, Leng M, Zhang B, Kang X, et al. Scalp acupuncture attenuates neurological deficits in a rat model of hemorrhagic stroke. Complement Ther Med. 2017; 32: 85–90. </w:t>
      </w:r>
    </w:p>
    <w:p w:rsidR="00770076" w:rsidRPr="00770076" w:rsidRDefault="00770076" w:rsidP="00770076">
      <w:pPr>
        <w:widowControl w:val="0"/>
        <w:autoSpaceDE w:val="0"/>
        <w:autoSpaceDN w:val="0"/>
        <w:adjustRightInd w:val="0"/>
        <w:spacing w:line="240" w:lineRule="auto"/>
        <w:ind w:left="640" w:hanging="640"/>
        <w:rPr>
          <w:rFonts w:ascii="Times New Roman" w:hAnsi="Times New Roman" w:cs="Times New Roman"/>
          <w:noProof/>
          <w:sz w:val="24"/>
          <w:szCs w:val="24"/>
        </w:rPr>
      </w:pPr>
      <w:r w:rsidRPr="00770076">
        <w:rPr>
          <w:rFonts w:ascii="Times New Roman" w:hAnsi="Times New Roman" w:cs="Times New Roman"/>
          <w:noProof/>
          <w:sz w:val="24"/>
          <w:szCs w:val="24"/>
        </w:rPr>
        <w:t xml:space="preserve">25. </w:t>
      </w:r>
      <w:r w:rsidRPr="00770076">
        <w:rPr>
          <w:rFonts w:ascii="Times New Roman" w:hAnsi="Times New Roman" w:cs="Times New Roman"/>
          <w:noProof/>
          <w:sz w:val="24"/>
          <w:szCs w:val="24"/>
        </w:rPr>
        <w:tab/>
        <w:t xml:space="preserve">Zhu W, Gao Y, Chang C-F, Wan J, Zhu S, Wang J. Mouse Models of Intracerebral Hemorrhage in Ventricle, Cortex, and Hippocampus by Injections of Autologous Blood or Collagenase. Ahmad M, editor. PLoS One. 2014; 9(5): e97423. </w:t>
      </w:r>
    </w:p>
    <w:p w:rsidR="00770076" w:rsidRPr="00770076" w:rsidRDefault="00770076" w:rsidP="00770076">
      <w:pPr>
        <w:widowControl w:val="0"/>
        <w:autoSpaceDE w:val="0"/>
        <w:autoSpaceDN w:val="0"/>
        <w:adjustRightInd w:val="0"/>
        <w:spacing w:line="240" w:lineRule="auto"/>
        <w:ind w:left="640" w:hanging="640"/>
        <w:rPr>
          <w:rFonts w:ascii="Times New Roman" w:hAnsi="Times New Roman" w:cs="Times New Roman"/>
          <w:noProof/>
          <w:sz w:val="24"/>
          <w:szCs w:val="24"/>
        </w:rPr>
      </w:pPr>
      <w:r w:rsidRPr="00770076">
        <w:rPr>
          <w:rFonts w:ascii="Times New Roman" w:hAnsi="Times New Roman" w:cs="Times New Roman"/>
          <w:noProof/>
          <w:sz w:val="24"/>
          <w:szCs w:val="24"/>
        </w:rPr>
        <w:t xml:space="preserve">26. </w:t>
      </w:r>
      <w:r w:rsidRPr="00770076">
        <w:rPr>
          <w:rFonts w:ascii="Times New Roman" w:hAnsi="Times New Roman" w:cs="Times New Roman"/>
          <w:noProof/>
          <w:sz w:val="24"/>
          <w:szCs w:val="24"/>
        </w:rPr>
        <w:tab/>
        <w:t xml:space="preserve">Pan X, Jiang T, Zhang L, Zheng H, Luo J, Hu X. Physical Exercise Promotes Novel Object Recognition Memory in Spontaneously Hypertensive Rats after Ischemic Stroke by Promoting Neural Plasticity in the Entorhinal Cortex. Front Behav Neurosci. 2017; 11: 185. </w:t>
      </w:r>
    </w:p>
    <w:p w:rsidR="00770076" w:rsidRPr="00770076" w:rsidRDefault="00770076" w:rsidP="00770076">
      <w:pPr>
        <w:widowControl w:val="0"/>
        <w:autoSpaceDE w:val="0"/>
        <w:autoSpaceDN w:val="0"/>
        <w:adjustRightInd w:val="0"/>
        <w:spacing w:line="240" w:lineRule="auto"/>
        <w:ind w:left="640" w:hanging="640"/>
        <w:rPr>
          <w:rFonts w:ascii="Times New Roman" w:hAnsi="Times New Roman" w:cs="Times New Roman"/>
          <w:noProof/>
          <w:sz w:val="24"/>
          <w:szCs w:val="24"/>
        </w:rPr>
      </w:pPr>
      <w:r w:rsidRPr="00770076">
        <w:rPr>
          <w:rFonts w:ascii="Times New Roman" w:hAnsi="Times New Roman" w:cs="Times New Roman"/>
          <w:noProof/>
          <w:sz w:val="24"/>
          <w:szCs w:val="24"/>
        </w:rPr>
        <w:lastRenderedPageBreak/>
        <w:t xml:space="preserve">27. </w:t>
      </w:r>
      <w:r w:rsidRPr="00770076">
        <w:rPr>
          <w:rFonts w:ascii="Times New Roman" w:hAnsi="Times New Roman" w:cs="Times New Roman"/>
          <w:noProof/>
          <w:sz w:val="24"/>
          <w:szCs w:val="24"/>
        </w:rPr>
        <w:tab/>
        <w:t xml:space="preserve">Hansen KF, Sakamoto K, Wayman GA, Impey S, Obrietan K. Transgenic miR132 Alters Neuronal Spine Density and Impairs Novel Object Recognition Memory. Dawson TM, editor. PLoS One. 2010; 5(11): e15497. </w:t>
      </w:r>
    </w:p>
    <w:p w:rsidR="00770076" w:rsidRPr="00770076" w:rsidRDefault="00770076" w:rsidP="00770076">
      <w:pPr>
        <w:widowControl w:val="0"/>
        <w:autoSpaceDE w:val="0"/>
        <w:autoSpaceDN w:val="0"/>
        <w:adjustRightInd w:val="0"/>
        <w:spacing w:line="240" w:lineRule="auto"/>
        <w:ind w:left="640" w:hanging="640"/>
        <w:rPr>
          <w:rFonts w:ascii="Times New Roman" w:hAnsi="Times New Roman" w:cs="Times New Roman"/>
          <w:noProof/>
          <w:sz w:val="24"/>
          <w:szCs w:val="24"/>
        </w:rPr>
      </w:pPr>
      <w:r w:rsidRPr="00770076">
        <w:rPr>
          <w:rFonts w:ascii="Times New Roman" w:hAnsi="Times New Roman" w:cs="Times New Roman"/>
          <w:noProof/>
          <w:sz w:val="24"/>
          <w:szCs w:val="24"/>
        </w:rPr>
        <w:t xml:space="preserve">28. </w:t>
      </w:r>
      <w:r w:rsidRPr="00770076">
        <w:rPr>
          <w:rFonts w:ascii="Times New Roman" w:hAnsi="Times New Roman" w:cs="Times New Roman"/>
          <w:noProof/>
          <w:sz w:val="24"/>
          <w:szCs w:val="24"/>
        </w:rPr>
        <w:tab/>
        <w:t xml:space="preserve">Esmaeili Tazangi P, Moosavi SMS, Shabani M, Haghani M. Erythropoietin improves synaptic plasticity and memory deficits by decrease of the neurotransmitter release probability in the rat model of Alzheimer’s disease. Pharmacol Biochem Behav. 2015; 130: 15–21. </w:t>
      </w:r>
    </w:p>
    <w:p w:rsidR="00770076" w:rsidRPr="00770076" w:rsidRDefault="00770076" w:rsidP="00770076">
      <w:pPr>
        <w:widowControl w:val="0"/>
        <w:autoSpaceDE w:val="0"/>
        <w:autoSpaceDN w:val="0"/>
        <w:adjustRightInd w:val="0"/>
        <w:spacing w:line="240" w:lineRule="auto"/>
        <w:ind w:left="640" w:hanging="640"/>
        <w:rPr>
          <w:rFonts w:ascii="Times New Roman" w:hAnsi="Times New Roman" w:cs="Times New Roman"/>
          <w:noProof/>
          <w:sz w:val="24"/>
          <w:szCs w:val="24"/>
        </w:rPr>
      </w:pPr>
      <w:r w:rsidRPr="00770076">
        <w:rPr>
          <w:rFonts w:ascii="Times New Roman" w:hAnsi="Times New Roman" w:cs="Times New Roman"/>
          <w:noProof/>
          <w:sz w:val="24"/>
          <w:szCs w:val="24"/>
        </w:rPr>
        <w:t xml:space="preserve">29. </w:t>
      </w:r>
      <w:r w:rsidRPr="00770076">
        <w:rPr>
          <w:rFonts w:ascii="Times New Roman" w:hAnsi="Times New Roman" w:cs="Times New Roman"/>
          <w:noProof/>
          <w:sz w:val="24"/>
          <w:szCs w:val="24"/>
        </w:rPr>
        <w:tab/>
        <w:t xml:space="preserve">Haghani M, Shabani M, Javan M, Motamedi F, Janahmadi M. CB1 Cannabinoid Receptor Activation Rescues Amyloid ß-Induced Alterations in Behaviour and Intrinsic Electrophysiological Properties of Rat Hippocampal CA1 Pyramidal Neurones. Cell Physiol Biochem. 2012; 29(3–4): 391–406. </w:t>
      </w:r>
    </w:p>
    <w:p w:rsidR="00770076" w:rsidRPr="00770076" w:rsidRDefault="00770076" w:rsidP="00770076">
      <w:pPr>
        <w:widowControl w:val="0"/>
        <w:autoSpaceDE w:val="0"/>
        <w:autoSpaceDN w:val="0"/>
        <w:adjustRightInd w:val="0"/>
        <w:spacing w:line="240" w:lineRule="auto"/>
        <w:ind w:left="640" w:hanging="640"/>
        <w:rPr>
          <w:rFonts w:ascii="Times New Roman" w:hAnsi="Times New Roman" w:cs="Times New Roman"/>
          <w:noProof/>
          <w:sz w:val="24"/>
          <w:szCs w:val="24"/>
        </w:rPr>
      </w:pPr>
      <w:r w:rsidRPr="00770076">
        <w:rPr>
          <w:rFonts w:ascii="Times New Roman" w:hAnsi="Times New Roman" w:cs="Times New Roman"/>
          <w:noProof/>
          <w:sz w:val="24"/>
          <w:szCs w:val="24"/>
        </w:rPr>
        <w:t xml:space="preserve">30. </w:t>
      </w:r>
      <w:r w:rsidRPr="00770076">
        <w:rPr>
          <w:rFonts w:ascii="Times New Roman" w:hAnsi="Times New Roman" w:cs="Times New Roman"/>
          <w:noProof/>
          <w:sz w:val="24"/>
          <w:szCs w:val="24"/>
        </w:rPr>
        <w:tab/>
        <w:t xml:space="preserve">Pascual-Lucas M, Viana da Silva S, Di Scala M, Garcia-Barroso C, Gonzalez-Aseguinolaza G, Mulle C, et al. Insulin-like growth factor 2 reverses memory and synaptic deficits in APP transgenic mice. EMBO Mol Med. 2014; 6(10): 1246–62. </w:t>
      </w:r>
    </w:p>
    <w:p w:rsidR="00770076" w:rsidRPr="00770076" w:rsidRDefault="00770076" w:rsidP="00770076">
      <w:pPr>
        <w:widowControl w:val="0"/>
        <w:autoSpaceDE w:val="0"/>
        <w:autoSpaceDN w:val="0"/>
        <w:adjustRightInd w:val="0"/>
        <w:spacing w:line="240" w:lineRule="auto"/>
        <w:ind w:left="640" w:hanging="640"/>
        <w:rPr>
          <w:rFonts w:ascii="Times New Roman" w:hAnsi="Times New Roman" w:cs="Times New Roman"/>
          <w:noProof/>
          <w:sz w:val="24"/>
          <w:szCs w:val="24"/>
        </w:rPr>
      </w:pPr>
      <w:r w:rsidRPr="00770076">
        <w:rPr>
          <w:rFonts w:ascii="Times New Roman" w:hAnsi="Times New Roman" w:cs="Times New Roman"/>
          <w:noProof/>
          <w:sz w:val="24"/>
          <w:szCs w:val="24"/>
        </w:rPr>
        <w:t xml:space="preserve">31. </w:t>
      </w:r>
      <w:r w:rsidRPr="00770076">
        <w:rPr>
          <w:rFonts w:ascii="Times New Roman" w:hAnsi="Times New Roman" w:cs="Times New Roman"/>
          <w:noProof/>
          <w:sz w:val="24"/>
          <w:szCs w:val="24"/>
        </w:rPr>
        <w:tab/>
        <w:t xml:space="preserve">Labandeira-Garcia JL, Costa-Besada MA, Labandeira CM, Villar-Cheda B, Rodríguez-Perez AI. Insulin-Like Growth Factor-1 and Neuroinflammation. Front Aging Neurosci. 2017; 9: 365. </w:t>
      </w:r>
    </w:p>
    <w:p w:rsidR="00770076" w:rsidRPr="00770076" w:rsidRDefault="00770076" w:rsidP="00770076">
      <w:pPr>
        <w:widowControl w:val="0"/>
        <w:autoSpaceDE w:val="0"/>
        <w:autoSpaceDN w:val="0"/>
        <w:adjustRightInd w:val="0"/>
        <w:spacing w:line="240" w:lineRule="auto"/>
        <w:ind w:left="640" w:hanging="640"/>
        <w:rPr>
          <w:rFonts w:ascii="Times New Roman" w:hAnsi="Times New Roman" w:cs="Times New Roman"/>
          <w:noProof/>
          <w:sz w:val="24"/>
          <w:szCs w:val="24"/>
        </w:rPr>
      </w:pPr>
      <w:r w:rsidRPr="00770076">
        <w:rPr>
          <w:rFonts w:ascii="Times New Roman" w:hAnsi="Times New Roman" w:cs="Times New Roman"/>
          <w:noProof/>
          <w:sz w:val="24"/>
          <w:szCs w:val="24"/>
        </w:rPr>
        <w:t xml:space="preserve">32. </w:t>
      </w:r>
      <w:r w:rsidRPr="00770076">
        <w:rPr>
          <w:rFonts w:ascii="Times New Roman" w:hAnsi="Times New Roman" w:cs="Times New Roman"/>
          <w:noProof/>
          <w:sz w:val="24"/>
          <w:szCs w:val="24"/>
        </w:rPr>
        <w:tab/>
        <w:t xml:space="preserve">Wynes MW, Riches DWH. Induction of macrophage insulin-like growth factor-I expression by the Th2 cytokines IL-4 and IL-13. J Immunol. 2003; 171(7): 3550–9. </w:t>
      </w:r>
    </w:p>
    <w:p w:rsidR="00770076" w:rsidRPr="00770076" w:rsidRDefault="00770076" w:rsidP="00770076">
      <w:pPr>
        <w:widowControl w:val="0"/>
        <w:autoSpaceDE w:val="0"/>
        <w:autoSpaceDN w:val="0"/>
        <w:adjustRightInd w:val="0"/>
        <w:spacing w:line="240" w:lineRule="auto"/>
        <w:ind w:left="640" w:hanging="640"/>
        <w:rPr>
          <w:rFonts w:ascii="Times New Roman" w:hAnsi="Times New Roman" w:cs="Times New Roman"/>
          <w:noProof/>
          <w:sz w:val="24"/>
          <w:szCs w:val="24"/>
        </w:rPr>
      </w:pPr>
      <w:r w:rsidRPr="00770076">
        <w:rPr>
          <w:rFonts w:ascii="Times New Roman" w:hAnsi="Times New Roman" w:cs="Times New Roman"/>
          <w:noProof/>
          <w:sz w:val="24"/>
          <w:szCs w:val="24"/>
        </w:rPr>
        <w:t xml:space="preserve">33. </w:t>
      </w:r>
      <w:r w:rsidRPr="00770076">
        <w:rPr>
          <w:rFonts w:ascii="Times New Roman" w:hAnsi="Times New Roman" w:cs="Times New Roman"/>
          <w:noProof/>
          <w:sz w:val="24"/>
          <w:szCs w:val="24"/>
        </w:rPr>
        <w:tab/>
        <w:t xml:space="preserve">Kaur C, Sivakumar V, Dheen ST, Ling EA. Insulin-like growth factor I and II expression and modulation in amoeboid microglial cells by lipopolysaccharide and retinoic acid. Neuroscience. 2006; 138(4): 1233–44. </w:t>
      </w:r>
    </w:p>
    <w:p w:rsidR="00770076" w:rsidRPr="00770076" w:rsidRDefault="00770076" w:rsidP="00770076">
      <w:pPr>
        <w:widowControl w:val="0"/>
        <w:autoSpaceDE w:val="0"/>
        <w:autoSpaceDN w:val="0"/>
        <w:adjustRightInd w:val="0"/>
        <w:spacing w:line="240" w:lineRule="auto"/>
        <w:ind w:left="640" w:hanging="640"/>
        <w:rPr>
          <w:rFonts w:ascii="Times New Roman" w:hAnsi="Times New Roman" w:cs="Times New Roman"/>
          <w:noProof/>
          <w:sz w:val="24"/>
          <w:szCs w:val="24"/>
        </w:rPr>
      </w:pPr>
      <w:r w:rsidRPr="00770076">
        <w:rPr>
          <w:rFonts w:ascii="Times New Roman" w:hAnsi="Times New Roman" w:cs="Times New Roman"/>
          <w:noProof/>
          <w:sz w:val="24"/>
          <w:szCs w:val="24"/>
        </w:rPr>
        <w:t xml:space="preserve">34. </w:t>
      </w:r>
      <w:r w:rsidRPr="00770076">
        <w:rPr>
          <w:rFonts w:ascii="Times New Roman" w:hAnsi="Times New Roman" w:cs="Times New Roman"/>
          <w:noProof/>
          <w:sz w:val="24"/>
          <w:szCs w:val="24"/>
        </w:rPr>
        <w:tab/>
        <w:t xml:space="preserve">Nader K, Schafe GE, LeDoux JE. The labile nature of consolidation theory. Nat Rev Neurosci. 2000; 1(3): 216–9. </w:t>
      </w:r>
    </w:p>
    <w:p w:rsidR="00770076" w:rsidRPr="00770076" w:rsidRDefault="00770076" w:rsidP="00770076">
      <w:pPr>
        <w:widowControl w:val="0"/>
        <w:autoSpaceDE w:val="0"/>
        <w:autoSpaceDN w:val="0"/>
        <w:adjustRightInd w:val="0"/>
        <w:spacing w:line="240" w:lineRule="auto"/>
        <w:ind w:left="640" w:hanging="640"/>
        <w:rPr>
          <w:rFonts w:ascii="Times New Roman" w:hAnsi="Times New Roman" w:cs="Times New Roman"/>
          <w:noProof/>
          <w:sz w:val="24"/>
          <w:szCs w:val="24"/>
        </w:rPr>
      </w:pPr>
      <w:r w:rsidRPr="00770076">
        <w:rPr>
          <w:rFonts w:ascii="Times New Roman" w:hAnsi="Times New Roman" w:cs="Times New Roman"/>
          <w:noProof/>
          <w:sz w:val="24"/>
          <w:szCs w:val="24"/>
        </w:rPr>
        <w:t xml:space="preserve">35. </w:t>
      </w:r>
      <w:r w:rsidRPr="00770076">
        <w:rPr>
          <w:rFonts w:ascii="Times New Roman" w:hAnsi="Times New Roman" w:cs="Times New Roman"/>
          <w:noProof/>
          <w:sz w:val="24"/>
          <w:szCs w:val="24"/>
        </w:rPr>
        <w:tab/>
        <w:t xml:space="preserve">Bramham CR, Alme MN, Bittins M, Kuipers SD, Nair RR, Pai B, et al. The Arc of synaptic memory. Exp brain Res. 2010; 200(2): 125–40. </w:t>
      </w:r>
    </w:p>
    <w:p w:rsidR="00770076" w:rsidRPr="00770076" w:rsidRDefault="00770076" w:rsidP="00770076">
      <w:pPr>
        <w:widowControl w:val="0"/>
        <w:autoSpaceDE w:val="0"/>
        <w:autoSpaceDN w:val="0"/>
        <w:adjustRightInd w:val="0"/>
        <w:spacing w:line="240" w:lineRule="auto"/>
        <w:ind w:left="640" w:hanging="640"/>
        <w:rPr>
          <w:rFonts w:ascii="Times New Roman" w:hAnsi="Times New Roman" w:cs="Times New Roman"/>
          <w:noProof/>
          <w:sz w:val="24"/>
          <w:szCs w:val="24"/>
        </w:rPr>
      </w:pPr>
      <w:r w:rsidRPr="00770076">
        <w:rPr>
          <w:rFonts w:ascii="Times New Roman" w:hAnsi="Times New Roman" w:cs="Times New Roman"/>
          <w:noProof/>
          <w:sz w:val="24"/>
          <w:szCs w:val="24"/>
        </w:rPr>
        <w:t xml:space="preserve">36. </w:t>
      </w:r>
      <w:r w:rsidRPr="00770076">
        <w:rPr>
          <w:rFonts w:ascii="Times New Roman" w:hAnsi="Times New Roman" w:cs="Times New Roman"/>
          <w:noProof/>
          <w:sz w:val="24"/>
          <w:szCs w:val="24"/>
        </w:rPr>
        <w:tab/>
        <w:t xml:space="preserve">Alberini CM, Chen DY. Memory enhancement: consolidation, reconsolidation and insulin-like growth factor 2. Trends Neurosci. 2012; 35(5): 274–83. </w:t>
      </w:r>
    </w:p>
    <w:p w:rsidR="00770076" w:rsidRDefault="00770076" w:rsidP="00770076">
      <w:pPr>
        <w:widowControl w:val="0"/>
        <w:autoSpaceDE w:val="0"/>
        <w:autoSpaceDN w:val="0"/>
        <w:adjustRightInd w:val="0"/>
        <w:spacing w:line="240" w:lineRule="auto"/>
        <w:ind w:left="640" w:hanging="640"/>
        <w:rPr>
          <w:rFonts w:ascii="Times New Roman" w:hAnsi="Times New Roman" w:cs="Times New Roman"/>
          <w:noProof/>
          <w:sz w:val="24"/>
          <w:szCs w:val="24"/>
          <w:rtl/>
        </w:rPr>
      </w:pPr>
      <w:r w:rsidRPr="00770076">
        <w:rPr>
          <w:rFonts w:ascii="Times New Roman" w:hAnsi="Times New Roman" w:cs="Times New Roman"/>
          <w:noProof/>
          <w:sz w:val="24"/>
          <w:szCs w:val="24"/>
        </w:rPr>
        <w:t xml:space="preserve">37. </w:t>
      </w:r>
      <w:r w:rsidRPr="00770076">
        <w:rPr>
          <w:rFonts w:ascii="Times New Roman" w:hAnsi="Times New Roman" w:cs="Times New Roman"/>
          <w:noProof/>
          <w:sz w:val="24"/>
          <w:szCs w:val="24"/>
        </w:rPr>
        <w:tab/>
        <w:t xml:space="preserve">Livingstone C. IGF2 and cancer. Endocr Relat Cancer. 2013; 20(6): R321–39. </w:t>
      </w:r>
    </w:p>
    <w:p w:rsidR="00A6360B" w:rsidRDefault="00A6360B" w:rsidP="00770076">
      <w:pPr>
        <w:widowControl w:val="0"/>
        <w:autoSpaceDE w:val="0"/>
        <w:autoSpaceDN w:val="0"/>
        <w:adjustRightInd w:val="0"/>
        <w:spacing w:line="240" w:lineRule="auto"/>
        <w:ind w:left="640" w:hanging="640"/>
        <w:rPr>
          <w:rFonts w:ascii="Times New Roman" w:hAnsi="Times New Roman" w:cs="Times New Roman"/>
          <w:noProof/>
          <w:sz w:val="24"/>
          <w:szCs w:val="24"/>
          <w:rtl/>
        </w:rPr>
      </w:pPr>
    </w:p>
    <w:p w:rsidR="00A6360B" w:rsidRDefault="00A6360B" w:rsidP="00A6360B">
      <w:pPr>
        <w:widowControl w:val="0"/>
        <w:autoSpaceDE w:val="0"/>
        <w:autoSpaceDN w:val="0"/>
        <w:adjustRightInd w:val="0"/>
        <w:spacing w:line="240" w:lineRule="auto"/>
        <w:ind w:left="640" w:hanging="640"/>
        <w:rPr>
          <w:rStyle w:val="Strong"/>
          <w:rFonts w:asciiTheme="majorBidi" w:hAnsiTheme="majorBidi" w:cstheme="majorBidi"/>
          <w:color w:val="000000"/>
          <w:sz w:val="24"/>
          <w:szCs w:val="24"/>
          <w:bdr w:val="none" w:sz="0" w:space="0" w:color="auto" w:frame="1"/>
          <w:shd w:val="clear" w:color="auto" w:fill="FFFFFF"/>
        </w:rPr>
      </w:pPr>
      <w:r w:rsidRPr="00A6360B">
        <w:rPr>
          <w:rStyle w:val="Strong"/>
          <w:rFonts w:asciiTheme="majorBidi" w:hAnsiTheme="majorBidi" w:cstheme="majorBidi"/>
          <w:color w:val="000000"/>
          <w:sz w:val="24"/>
          <w:szCs w:val="24"/>
          <w:bdr w:val="none" w:sz="0" w:space="0" w:color="auto" w:frame="1"/>
          <w:shd w:val="clear" w:color="auto" w:fill="FFFFFF"/>
        </w:rPr>
        <w:t>Figure legends</w:t>
      </w:r>
      <w:r>
        <w:rPr>
          <w:rStyle w:val="Strong"/>
          <w:rFonts w:asciiTheme="majorBidi" w:hAnsiTheme="majorBidi" w:cstheme="majorBidi"/>
          <w:color w:val="000000"/>
          <w:sz w:val="24"/>
          <w:szCs w:val="24"/>
          <w:bdr w:val="none" w:sz="0" w:space="0" w:color="auto" w:frame="1"/>
          <w:shd w:val="clear" w:color="auto" w:fill="FFFFFF"/>
        </w:rPr>
        <w:t>:</w:t>
      </w:r>
    </w:p>
    <w:p w:rsidR="00A6360B" w:rsidRDefault="00A6360B" w:rsidP="00A6360B">
      <w:pPr>
        <w:spacing w:after="0" w:line="276" w:lineRule="auto"/>
        <w:jc w:val="both"/>
        <w:rPr>
          <w:rFonts w:asciiTheme="majorBidi" w:hAnsiTheme="majorBidi" w:cstheme="majorBidi"/>
          <w:color w:val="000000" w:themeColor="text1"/>
          <w:sz w:val="24"/>
          <w:szCs w:val="24"/>
        </w:rPr>
      </w:pPr>
      <w:r w:rsidRPr="00807368">
        <w:rPr>
          <w:rFonts w:asciiTheme="majorBidi" w:hAnsiTheme="majorBidi" w:cstheme="majorBidi"/>
          <w:color w:val="000000" w:themeColor="text1"/>
          <w:sz w:val="24"/>
          <w:szCs w:val="24"/>
        </w:rPr>
        <w:t xml:space="preserve">Figure 1 (A). IGF-II effect on NDS. Data are shown as mean ± SEM (n=8). * </w:t>
      </w:r>
      <w:r w:rsidRPr="00807368">
        <w:rPr>
          <w:rFonts w:asciiTheme="majorBidi" w:hAnsiTheme="majorBidi" w:cstheme="majorBidi"/>
          <w:i/>
          <w:color w:val="000000" w:themeColor="text1"/>
          <w:sz w:val="24"/>
          <w:szCs w:val="24"/>
        </w:rPr>
        <w:t xml:space="preserve">P </w:t>
      </w:r>
      <w:r w:rsidRPr="00807368">
        <w:rPr>
          <w:rFonts w:asciiTheme="majorBidi" w:hAnsiTheme="majorBidi" w:cstheme="majorBidi"/>
          <w:color w:val="000000" w:themeColor="text1"/>
          <w:sz w:val="24"/>
          <w:szCs w:val="24"/>
        </w:rPr>
        <w:t>&lt; 0.05, **</w:t>
      </w:r>
      <w:r w:rsidRPr="00807368">
        <w:rPr>
          <w:rFonts w:asciiTheme="majorBidi" w:hAnsiTheme="majorBidi" w:cstheme="majorBidi"/>
          <w:i/>
          <w:color w:val="000000" w:themeColor="text1"/>
          <w:sz w:val="24"/>
          <w:szCs w:val="24"/>
        </w:rPr>
        <w:t xml:space="preserve">P </w:t>
      </w:r>
      <w:r w:rsidRPr="00807368">
        <w:rPr>
          <w:rFonts w:asciiTheme="majorBidi" w:hAnsiTheme="majorBidi" w:cstheme="majorBidi"/>
          <w:color w:val="000000" w:themeColor="text1"/>
          <w:sz w:val="24"/>
          <w:szCs w:val="24"/>
        </w:rPr>
        <w:t>&lt; 0.01, and ***</w:t>
      </w:r>
      <w:r w:rsidRPr="00807368">
        <w:rPr>
          <w:rFonts w:asciiTheme="majorBidi" w:hAnsiTheme="majorBidi" w:cstheme="majorBidi"/>
          <w:i/>
          <w:color w:val="000000" w:themeColor="text1"/>
          <w:sz w:val="24"/>
          <w:szCs w:val="24"/>
        </w:rPr>
        <w:t xml:space="preserve">P </w:t>
      </w:r>
      <w:r w:rsidRPr="00807368">
        <w:rPr>
          <w:rFonts w:asciiTheme="majorBidi" w:hAnsiTheme="majorBidi" w:cstheme="majorBidi"/>
          <w:color w:val="000000" w:themeColor="text1"/>
          <w:sz w:val="24"/>
          <w:szCs w:val="24"/>
        </w:rPr>
        <w:t>&lt; 0.001 compared with the sham group. (B). IGF-II effect on locomotor deficits evaluated by wire-hanging test. There were no significant difference between groups.</w:t>
      </w:r>
    </w:p>
    <w:p w:rsidR="00A6360B" w:rsidRPr="00807368" w:rsidRDefault="00A6360B" w:rsidP="00A6360B">
      <w:pPr>
        <w:spacing w:after="0" w:line="276" w:lineRule="auto"/>
        <w:jc w:val="both"/>
        <w:rPr>
          <w:rFonts w:asciiTheme="majorBidi" w:hAnsiTheme="majorBidi" w:cstheme="majorBidi"/>
          <w:color w:val="000000" w:themeColor="text1"/>
          <w:sz w:val="24"/>
          <w:szCs w:val="24"/>
        </w:rPr>
      </w:pPr>
    </w:p>
    <w:p w:rsidR="00A6360B" w:rsidRDefault="00A6360B" w:rsidP="00A6360B">
      <w:pPr>
        <w:spacing w:after="0" w:line="276" w:lineRule="auto"/>
        <w:jc w:val="both"/>
        <w:rPr>
          <w:rFonts w:asciiTheme="majorBidi" w:hAnsiTheme="majorBidi" w:cstheme="majorBidi"/>
          <w:color w:val="000000" w:themeColor="text1"/>
          <w:sz w:val="24"/>
          <w:szCs w:val="24"/>
        </w:rPr>
      </w:pPr>
      <w:r w:rsidRPr="00807368">
        <w:rPr>
          <w:rFonts w:asciiTheme="majorBidi" w:hAnsiTheme="majorBidi" w:cstheme="majorBidi"/>
          <w:color w:val="000000" w:themeColor="text1"/>
          <w:sz w:val="24"/>
          <w:szCs w:val="24"/>
        </w:rPr>
        <w:t xml:space="preserve">Figure 2 (A). Effect of IGF-II on step-through latency (STL) in shuttle box test. Data are shown as mean ± SEM (n=8).* </w:t>
      </w:r>
      <w:r w:rsidRPr="00807368">
        <w:rPr>
          <w:rFonts w:asciiTheme="majorBidi" w:hAnsiTheme="majorBidi" w:cstheme="majorBidi"/>
          <w:i/>
          <w:color w:val="000000" w:themeColor="text1"/>
          <w:sz w:val="24"/>
          <w:szCs w:val="24"/>
        </w:rPr>
        <w:t xml:space="preserve">P </w:t>
      </w:r>
      <w:r w:rsidRPr="00807368">
        <w:rPr>
          <w:rFonts w:asciiTheme="majorBidi" w:hAnsiTheme="majorBidi" w:cstheme="majorBidi"/>
          <w:color w:val="000000" w:themeColor="text1"/>
          <w:sz w:val="24"/>
          <w:szCs w:val="24"/>
        </w:rPr>
        <w:t>&lt; 0.05 and ***</w:t>
      </w:r>
      <w:r w:rsidRPr="00807368">
        <w:rPr>
          <w:rFonts w:asciiTheme="majorBidi" w:hAnsiTheme="majorBidi" w:cstheme="majorBidi"/>
          <w:i/>
          <w:color w:val="000000" w:themeColor="text1"/>
          <w:sz w:val="24"/>
          <w:szCs w:val="24"/>
        </w:rPr>
        <w:t xml:space="preserve">P </w:t>
      </w:r>
      <w:r w:rsidRPr="00807368">
        <w:rPr>
          <w:rFonts w:asciiTheme="majorBidi" w:hAnsiTheme="majorBidi" w:cstheme="majorBidi"/>
          <w:color w:val="000000" w:themeColor="text1"/>
          <w:sz w:val="24"/>
          <w:szCs w:val="24"/>
        </w:rPr>
        <w:t xml:space="preserve">&lt; 0.001 as compared to Sham, +++ </w:t>
      </w:r>
      <w:r w:rsidRPr="00807368">
        <w:rPr>
          <w:rFonts w:asciiTheme="majorBidi" w:hAnsiTheme="majorBidi" w:cstheme="majorBidi"/>
          <w:i/>
          <w:color w:val="000000" w:themeColor="text1"/>
          <w:sz w:val="24"/>
          <w:szCs w:val="24"/>
        </w:rPr>
        <w:t xml:space="preserve">P </w:t>
      </w:r>
      <w:r w:rsidRPr="00807368">
        <w:rPr>
          <w:rFonts w:asciiTheme="majorBidi" w:hAnsiTheme="majorBidi" w:cstheme="majorBidi"/>
          <w:color w:val="000000" w:themeColor="text1"/>
          <w:sz w:val="24"/>
          <w:szCs w:val="24"/>
        </w:rPr>
        <w:t xml:space="preserve">&lt; 0.001 in </w:t>
      </w:r>
      <w:r w:rsidRPr="00807368">
        <w:rPr>
          <w:rFonts w:asciiTheme="majorBidi" w:hAnsiTheme="majorBidi" w:cstheme="majorBidi"/>
          <w:color w:val="000000" w:themeColor="text1"/>
          <w:sz w:val="24"/>
          <w:szCs w:val="24"/>
        </w:rPr>
        <w:lastRenderedPageBreak/>
        <w:t>comparison with ICH group. (B). Effect of IGF-II on total time spent in dark chamber (TDC) in shuttle box test. **</w:t>
      </w:r>
      <w:r w:rsidRPr="00807368">
        <w:rPr>
          <w:rFonts w:asciiTheme="majorBidi" w:hAnsiTheme="majorBidi" w:cstheme="majorBidi"/>
          <w:i/>
          <w:color w:val="000000" w:themeColor="text1"/>
          <w:sz w:val="24"/>
          <w:szCs w:val="24"/>
        </w:rPr>
        <w:t xml:space="preserve">P </w:t>
      </w:r>
      <w:r w:rsidRPr="00807368">
        <w:rPr>
          <w:rFonts w:asciiTheme="majorBidi" w:hAnsiTheme="majorBidi" w:cstheme="majorBidi"/>
          <w:color w:val="000000" w:themeColor="text1"/>
          <w:sz w:val="24"/>
          <w:szCs w:val="24"/>
        </w:rPr>
        <w:t>&lt; 0.01 as compared with sham group; +</w:t>
      </w:r>
      <w:r w:rsidRPr="00807368">
        <w:rPr>
          <w:rFonts w:asciiTheme="majorBidi" w:hAnsiTheme="majorBidi" w:cstheme="majorBidi"/>
          <w:i/>
          <w:iCs/>
          <w:color w:val="000000" w:themeColor="text1"/>
          <w:sz w:val="24"/>
          <w:szCs w:val="24"/>
        </w:rPr>
        <w:t xml:space="preserve">P </w:t>
      </w:r>
      <w:r w:rsidRPr="00807368">
        <w:rPr>
          <w:rFonts w:asciiTheme="majorBidi" w:hAnsiTheme="majorBidi" w:cstheme="majorBidi"/>
          <w:color w:val="000000" w:themeColor="text1"/>
          <w:sz w:val="24"/>
          <w:szCs w:val="24"/>
        </w:rPr>
        <w:t>&lt; 0.05 as compared with ICH group.</w:t>
      </w:r>
    </w:p>
    <w:p w:rsidR="00A6360B" w:rsidRDefault="00A6360B" w:rsidP="00A6360B">
      <w:pPr>
        <w:spacing w:after="0" w:line="276" w:lineRule="auto"/>
        <w:jc w:val="both"/>
        <w:rPr>
          <w:rFonts w:asciiTheme="majorBidi" w:hAnsiTheme="majorBidi" w:cstheme="majorBidi"/>
          <w:color w:val="000000" w:themeColor="text1"/>
          <w:sz w:val="24"/>
          <w:szCs w:val="24"/>
        </w:rPr>
      </w:pPr>
    </w:p>
    <w:p w:rsidR="00A6360B" w:rsidRDefault="00A6360B" w:rsidP="00A6360B">
      <w:pPr>
        <w:spacing w:after="0" w:line="276" w:lineRule="auto"/>
        <w:jc w:val="both"/>
        <w:rPr>
          <w:rFonts w:asciiTheme="majorBidi" w:hAnsiTheme="majorBidi" w:cstheme="majorBidi"/>
          <w:color w:val="000000" w:themeColor="text1"/>
          <w:sz w:val="24"/>
          <w:szCs w:val="24"/>
        </w:rPr>
      </w:pPr>
      <w:r w:rsidRPr="00807368">
        <w:rPr>
          <w:rFonts w:asciiTheme="majorBidi" w:hAnsiTheme="majorBidi" w:cstheme="majorBidi"/>
          <w:color w:val="000000" w:themeColor="text1"/>
          <w:sz w:val="24"/>
          <w:szCs w:val="24"/>
        </w:rPr>
        <w:t>Figure 3. Effect of IGF-II in novel object recognition test. Data are shown as mean ± SEM (n=8). In contrast to sham, ICH and IGF-II groups spent less time exploring novel object than old ones. No significant difference was observed between IGF-II and ICH groups. *</w:t>
      </w:r>
      <w:r w:rsidRPr="00807368">
        <w:rPr>
          <w:rFonts w:asciiTheme="majorBidi" w:hAnsiTheme="majorBidi" w:cstheme="majorBidi"/>
          <w:i/>
          <w:color w:val="000000" w:themeColor="text1"/>
          <w:sz w:val="24"/>
          <w:szCs w:val="24"/>
        </w:rPr>
        <w:t xml:space="preserve">P </w:t>
      </w:r>
      <w:r w:rsidRPr="00807368">
        <w:rPr>
          <w:rFonts w:asciiTheme="majorBidi" w:hAnsiTheme="majorBidi" w:cstheme="majorBidi"/>
          <w:color w:val="000000" w:themeColor="text1"/>
          <w:sz w:val="24"/>
          <w:szCs w:val="24"/>
        </w:rPr>
        <w:t>&lt; 0.05 and **</w:t>
      </w:r>
      <w:r w:rsidRPr="00807368">
        <w:rPr>
          <w:rFonts w:asciiTheme="majorBidi" w:hAnsiTheme="majorBidi" w:cstheme="majorBidi"/>
          <w:i/>
          <w:color w:val="000000" w:themeColor="text1"/>
          <w:sz w:val="24"/>
          <w:szCs w:val="24"/>
        </w:rPr>
        <w:t xml:space="preserve">P </w:t>
      </w:r>
      <w:r w:rsidRPr="00807368">
        <w:rPr>
          <w:rFonts w:asciiTheme="majorBidi" w:hAnsiTheme="majorBidi" w:cstheme="majorBidi"/>
          <w:color w:val="000000" w:themeColor="text1"/>
          <w:sz w:val="24"/>
          <w:szCs w:val="24"/>
        </w:rPr>
        <w:t>&lt; 0.01 compared with the sham group.</w:t>
      </w:r>
    </w:p>
    <w:p w:rsidR="00A6360B" w:rsidRDefault="00A6360B" w:rsidP="00A6360B">
      <w:pPr>
        <w:spacing w:after="0" w:line="276" w:lineRule="auto"/>
        <w:jc w:val="both"/>
        <w:rPr>
          <w:rFonts w:asciiTheme="majorBidi" w:hAnsiTheme="majorBidi" w:cstheme="majorBidi"/>
          <w:color w:val="000000" w:themeColor="text1"/>
          <w:sz w:val="24"/>
          <w:szCs w:val="24"/>
        </w:rPr>
      </w:pPr>
    </w:p>
    <w:p w:rsidR="00A6360B" w:rsidRPr="00807368" w:rsidRDefault="00A6360B" w:rsidP="00A6360B">
      <w:pPr>
        <w:spacing w:after="0" w:line="276" w:lineRule="auto"/>
        <w:jc w:val="both"/>
        <w:rPr>
          <w:rFonts w:asciiTheme="majorBidi" w:hAnsiTheme="majorBidi" w:cstheme="majorBidi"/>
          <w:color w:val="000000" w:themeColor="text1"/>
          <w:sz w:val="24"/>
          <w:szCs w:val="24"/>
        </w:rPr>
      </w:pPr>
      <w:r w:rsidRPr="00807368">
        <w:rPr>
          <w:rFonts w:asciiTheme="majorBidi" w:hAnsiTheme="majorBidi" w:cstheme="majorBidi"/>
          <w:color w:val="000000" w:themeColor="text1"/>
          <w:sz w:val="24"/>
          <w:szCs w:val="24"/>
        </w:rPr>
        <w:t xml:space="preserve">Figure 4. Effect of recombinant IGF-II on the level of IGF-II gene expression in a damaged hippocampus following intracerebral hemorrhage; the mRNA level of IGF-II measured using real-time PCR was normalized by </w:t>
      </w:r>
      <w:r w:rsidRPr="00807368">
        <w:rPr>
          <w:rFonts w:asciiTheme="majorBidi" w:hAnsiTheme="majorBidi" w:cstheme="majorBidi"/>
          <w:color w:val="000000" w:themeColor="text1"/>
          <w:sz w:val="24"/>
          <w:szCs w:val="24"/>
          <w:shd w:val="clear" w:color="auto" w:fill="FFFFFF"/>
        </w:rPr>
        <w:t>GAPDH</w:t>
      </w:r>
      <w:r w:rsidRPr="00807368">
        <w:rPr>
          <w:rFonts w:asciiTheme="majorBidi" w:hAnsiTheme="majorBidi" w:cstheme="majorBidi"/>
          <w:color w:val="000000" w:themeColor="text1"/>
          <w:sz w:val="24"/>
          <w:szCs w:val="24"/>
        </w:rPr>
        <w:t>. The statistics are shown as mean ± SEM (n=4). *</w:t>
      </w:r>
      <w:r w:rsidRPr="00807368">
        <w:rPr>
          <w:rFonts w:asciiTheme="majorBidi" w:hAnsiTheme="majorBidi" w:cstheme="majorBidi"/>
          <w:i/>
          <w:color w:val="000000" w:themeColor="text1"/>
          <w:sz w:val="24"/>
          <w:szCs w:val="24"/>
        </w:rPr>
        <w:t xml:space="preserve">P </w:t>
      </w:r>
      <w:r w:rsidRPr="00807368">
        <w:rPr>
          <w:rFonts w:asciiTheme="majorBidi" w:hAnsiTheme="majorBidi" w:cstheme="majorBidi"/>
          <w:color w:val="000000" w:themeColor="text1"/>
          <w:sz w:val="24"/>
          <w:szCs w:val="24"/>
        </w:rPr>
        <w:t>&lt; 0.05 compared with sham group.</w:t>
      </w:r>
    </w:p>
    <w:p w:rsidR="00A6360B" w:rsidRPr="00807368" w:rsidRDefault="00A6360B" w:rsidP="00A6360B">
      <w:pPr>
        <w:spacing w:after="0" w:line="276" w:lineRule="auto"/>
        <w:jc w:val="both"/>
        <w:rPr>
          <w:rFonts w:asciiTheme="majorBidi" w:hAnsiTheme="majorBidi" w:cstheme="majorBidi"/>
          <w:color w:val="000000" w:themeColor="text1"/>
          <w:sz w:val="24"/>
          <w:szCs w:val="24"/>
        </w:rPr>
      </w:pPr>
    </w:p>
    <w:p w:rsidR="00A6360B" w:rsidRPr="00A6360B" w:rsidRDefault="00A6360B" w:rsidP="00A6360B">
      <w:pPr>
        <w:widowControl w:val="0"/>
        <w:autoSpaceDE w:val="0"/>
        <w:autoSpaceDN w:val="0"/>
        <w:adjustRightInd w:val="0"/>
        <w:spacing w:line="240" w:lineRule="auto"/>
        <w:ind w:left="640" w:hanging="640"/>
        <w:rPr>
          <w:rFonts w:asciiTheme="majorBidi" w:hAnsiTheme="majorBidi" w:cstheme="majorBidi"/>
          <w:noProof/>
          <w:sz w:val="24"/>
          <w:szCs w:val="24"/>
        </w:rPr>
      </w:pPr>
    </w:p>
    <w:p w:rsidR="007308BA" w:rsidRPr="00807368" w:rsidRDefault="0073523B" w:rsidP="00925FD4">
      <w:pPr>
        <w:spacing w:line="276" w:lineRule="auto"/>
        <w:rPr>
          <w:rFonts w:asciiTheme="majorBidi" w:hAnsiTheme="majorBidi" w:cstheme="majorBidi"/>
          <w:sz w:val="24"/>
          <w:szCs w:val="24"/>
        </w:rPr>
      </w:pPr>
      <w:r w:rsidRPr="00807368">
        <w:rPr>
          <w:rFonts w:asciiTheme="majorBidi" w:hAnsiTheme="majorBidi" w:cstheme="majorBidi"/>
          <w:sz w:val="24"/>
          <w:szCs w:val="24"/>
        </w:rPr>
        <w:fldChar w:fldCharType="end"/>
      </w:r>
    </w:p>
    <w:sectPr w:rsidR="007308BA" w:rsidRPr="00807368" w:rsidSect="000F403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90E" w:rsidRDefault="0045290E" w:rsidP="00D1445F">
      <w:pPr>
        <w:spacing w:after="0" w:line="240" w:lineRule="auto"/>
      </w:pPr>
      <w:r>
        <w:separator/>
      </w:r>
    </w:p>
  </w:endnote>
  <w:endnote w:type="continuationSeparator" w:id="0">
    <w:p w:rsidR="0045290E" w:rsidRDefault="0045290E" w:rsidP="00D14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vOTbf7bbda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883437"/>
      <w:docPartObj>
        <w:docPartGallery w:val="Page Numbers (Bottom of Page)"/>
        <w:docPartUnique/>
      </w:docPartObj>
    </w:sdtPr>
    <w:sdtEndPr>
      <w:rPr>
        <w:noProof/>
      </w:rPr>
    </w:sdtEndPr>
    <w:sdtContent>
      <w:p w:rsidR="00605A65" w:rsidRDefault="00605A65">
        <w:pPr>
          <w:pStyle w:val="Footer"/>
          <w:jc w:val="center"/>
        </w:pPr>
        <w:r>
          <w:fldChar w:fldCharType="begin"/>
        </w:r>
        <w:r>
          <w:instrText xml:space="preserve"> PAGE   \* MERGEFORMAT </w:instrText>
        </w:r>
        <w:r>
          <w:fldChar w:fldCharType="separate"/>
        </w:r>
        <w:r w:rsidR="00F43D06">
          <w:rPr>
            <w:noProof/>
          </w:rPr>
          <w:t>9</w:t>
        </w:r>
        <w:r>
          <w:rPr>
            <w:noProof/>
          </w:rPr>
          <w:fldChar w:fldCharType="end"/>
        </w:r>
      </w:p>
    </w:sdtContent>
  </w:sdt>
  <w:p w:rsidR="00605A65" w:rsidRDefault="00605A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90E" w:rsidRDefault="0045290E" w:rsidP="00D1445F">
      <w:pPr>
        <w:spacing w:after="0" w:line="240" w:lineRule="auto"/>
      </w:pPr>
      <w:r>
        <w:separator/>
      </w:r>
    </w:p>
  </w:footnote>
  <w:footnote w:type="continuationSeparator" w:id="0">
    <w:p w:rsidR="0045290E" w:rsidRDefault="0045290E" w:rsidP="00D144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1pt;height:50.5pt;flip:x;visibility:visible;mso-wrap-style:square" o:bullet="t">
        <v:imagedata r:id="rId1" o:title="" croptop="12588f" cropbottom="4238f" cropleft="1f" cropright="4453f"/>
      </v:shape>
    </w:pict>
  </w:numPicBullet>
  <w:abstractNum w:abstractNumId="0">
    <w:nsid w:val="56AE1224"/>
    <w:multiLevelType w:val="hybridMultilevel"/>
    <w:tmpl w:val="65E8F24C"/>
    <w:lvl w:ilvl="0" w:tplc="14BE0F30">
      <w:start w:val="1"/>
      <w:numFmt w:val="bullet"/>
      <w:lvlText w:val=""/>
      <w:lvlPicBulletId w:val="0"/>
      <w:lvlJc w:val="left"/>
      <w:pPr>
        <w:tabs>
          <w:tab w:val="num" w:pos="720"/>
        </w:tabs>
        <w:ind w:left="720" w:hanging="360"/>
      </w:pPr>
      <w:rPr>
        <w:rFonts w:ascii="Symbol" w:hAnsi="Symbol" w:hint="default"/>
      </w:rPr>
    </w:lvl>
    <w:lvl w:ilvl="1" w:tplc="08F02BD6" w:tentative="1">
      <w:start w:val="1"/>
      <w:numFmt w:val="bullet"/>
      <w:lvlText w:val=""/>
      <w:lvlJc w:val="left"/>
      <w:pPr>
        <w:tabs>
          <w:tab w:val="num" w:pos="1440"/>
        </w:tabs>
        <w:ind w:left="1440" w:hanging="360"/>
      </w:pPr>
      <w:rPr>
        <w:rFonts w:ascii="Symbol" w:hAnsi="Symbol" w:hint="default"/>
      </w:rPr>
    </w:lvl>
    <w:lvl w:ilvl="2" w:tplc="109C9C88" w:tentative="1">
      <w:start w:val="1"/>
      <w:numFmt w:val="bullet"/>
      <w:lvlText w:val=""/>
      <w:lvlJc w:val="left"/>
      <w:pPr>
        <w:tabs>
          <w:tab w:val="num" w:pos="2160"/>
        </w:tabs>
        <w:ind w:left="2160" w:hanging="360"/>
      </w:pPr>
      <w:rPr>
        <w:rFonts w:ascii="Symbol" w:hAnsi="Symbol" w:hint="default"/>
      </w:rPr>
    </w:lvl>
    <w:lvl w:ilvl="3" w:tplc="9878C036" w:tentative="1">
      <w:start w:val="1"/>
      <w:numFmt w:val="bullet"/>
      <w:lvlText w:val=""/>
      <w:lvlJc w:val="left"/>
      <w:pPr>
        <w:tabs>
          <w:tab w:val="num" w:pos="2880"/>
        </w:tabs>
        <w:ind w:left="2880" w:hanging="360"/>
      </w:pPr>
      <w:rPr>
        <w:rFonts w:ascii="Symbol" w:hAnsi="Symbol" w:hint="default"/>
      </w:rPr>
    </w:lvl>
    <w:lvl w:ilvl="4" w:tplc="6188124A" w:tentative="1">
      <w:start w:val="1"/>
      <w:numFmt w:val="bullet"/>
      <w:lvlText w:val=""/>
      <w:lvlJc w:val="left"/>
      <w:pPr>
        <w:tabs>
          <w:tab w:val="num" w:pos="3600"/>
        </w:tabs>
        <w:ind w:left="3600" w:hanging="360"/>
      </w:pPr>
      <w:rPr>
        <w:rFonts w:ascii="Symbol" w:hAnsi="Symbol" w:hint="default"/>
      </w:rPr>
    </w:lvl>
    <w:lvl w:ilvl="5" w:tplc="E034E60C" w:tentative="1">
      <w:start w:val="1"/>
      <w:numFmt w:val="bullet"/>
      <w:lvlText w:val=""/>
      <w:lvlJc w:val="left"/>
      <w:pPr>
        <w:tabs>
          <w:tab w:val="num" w:pos="4320"/>
        </w:tabs>
        <w:ind w:left="4320" w:hanging="360"/>
      </w:pPr>
      <w:rPr>
        <w:rFonts w:ascii="Symbol" w:hAnsi="Symbol" w:hint="default"/>
      </w:rPr>
    </w:lvl>
    <w:lvl w:ilvl="6" w:tplc="E28E11AC" w:tentative="1">
      <w:start w:val="1"/>
      <w:numFmt w:val="bullet"/>
      <w:lvlText w:val=""/>
      <w:lvlJc w:val="left"/>
      <w:pPr>
        <w:tabs>
          <w:tab w:val="num" w:pos="5040"/>
        </w:tabs>
        <w:ind w:left="5040" w:hanging="360"/>
      </w:pPr>
      <w:rPr>
        <w:rFonts w:ascii="Symbol" w:hAnsi="Symbol" w:hint="default"/>
      </w:rPr>
    </w:lvl>
    <w:lvl w:ilvl="7" w:tplc="6B9477A0" w:tentative="1">
      <w:start w:val="1"/>
      <w:numFmt w:val="bullet"/>
      <w:lvlText w:val=""/>
      <w:lvlJc w:val="left"/>
      <w:pPr>
        <w:tabs>
          <w:tab w:val="num" w:pos="5760"/>
        </w:tabs>
        <w:ind w:left="5760" w:hanging="360"/>
      </w:pPr>
      <w:rPr>
        <w:rFonts w:ascii="Symbol" w:hAnsi="Symbol" w:hint="default"/>
      </w:rPr>
    </w:lvl>
    <w:lvl w:ilvl="8" w:tplc="A06E29D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106"/>
    <w:rsid w:val="0000144E"/>
    <w:rsid w:val="0000591C"/>
    <w:rsid w:val="00017B27"/>
    <w:rsid w:val="0002044C"/>
    <w:rsid w:val="00025349"/>
    <w:rsid w:val="00037880"/>
    <w:rsid w:val="000578CA"/>
    <w:rsid w:val="000636C0"/>
    <w:rsid w:val="000700F2"/>
    <w:rsid w:val="00076735"/>
    <w:rsid w:val="0007770C"/>
    <w:rsid w:val="0008123B"/>
    <w:rsid w:val="00095AD1"/>
    <w:rsid w:val="00097937"/>
    <w:rsid w:val="000B2931"/>
    <w:rsid w:val="000B3E4B"/>
    <w:rsid w:val="000F1AC6"/>
    <w:rsid w:val="000F403D"/>
    <w:rsid w:val="000F6000"/>
    <w:rsid w:val="00103A4B"/>
    <w:rsid w:val="00107CE6"/>
    <w:rsid w:val="00115C51"/>
    <w:rsid w:val="001245A7"/>
    <w:rsid w:val="00126E10"/>
    <w:rsid w:val="0012753B"/>
    <w:rsid w:val="0013465F"/>
    <w:rsid w:val="00150111"/>
    <w:rsid w:val="001609BE"/>
    <w:rsid w:val="00170E8C"/>
    <w:rsid w:val="001761C2"/>
    <w:rsid w:val="0017663A"/>
    <w:rsid w:val="00183E22"/>
    <w:rsid w:val="00187020"/>
    <w:rsid w:val="00190D2F"/>
    <w:rsid w:val="00193C41"/>
    <w:rsid w:val="00196009"/>
    <w:rsid w:val="001A2E65"/>
    <w:rsid w:val="001A644D"/>
    <w:rsid w:val="001B34E7"/>
    <w:rsid w:val="001D152B"/>
    <w:rsid w:val="001D36FE"/>
    <w:rsid w:val="001D4301"/>
    <w:rsid w:val="001D688A"/>
    <w:rsid w:val="001E2B0E"/>
    <w:rsid w:val="001E32A6"/>
    <w:rsid w:val="001F5A93"/>
    <w:rsid w:val="00201451"/>
    <w:rsid w:val="00203D49"/>
    <w:rsid w:val="00212566"/>
    <w:rsid w:val="00215BBD"/>
    <w:rsid w:val="00216FCE"/>
    <w:rsid w:val="00221022"/>
    <w:rsid w:val="002229B5"/>
    <w:rsid w:val="00225196"/>
    <w:rsid w:val="0022703B"/>
    <w:rsid w:val="0023795E"/>
    <w:rsid w:val="00243F83"/>
    <w:rsid w:val="00264BA2"/>
    <w:rsid w:val="0026621C"/>
    <w:rsid w:val="00270BFF"/>
    <w:rsid w:val="0027750A"/>
    <w:rsid w:val="0029746D"/>
    <w:rsid w:val="002B3ACD"/>
    <w:rsid w:val="002C1457"/>
    <w:rsid w:val="002D185F"/>
    <w:rsid w:val="002D2747"/>
    <w:rsid w:val="002F35D8"/>
    <w:rsid w:val="00305190"/>
    <w:rsid w:val="00311654"/>
    <w:rsid w:val="00314985"/>
    <w:rsid w:val="0032306E"/>
    <w:rsid w:val="00325B66"/>
    <w:rsid w:val="003375C8"/>
    <w:rsid w:val="00350081"/>
    <w:rsid w:val="00353514"/>
    <w:rsid w:val="00366EC8"/>
    <w:rsid w:val="00390CF4"/>
    <w:rsid w:val="003959BE"/>
    <w:rsid w:val="003A03FD"/>
    <w:rsid w:val="003A6C44"/>
    <w:rsid w:val="003C11EC"/>
    <w:rsid w:val="003D31A8"/>
    <w:rsid w:val="003D4DAC"/>
    <w:rsid w:val="003F24DC"/>
    <w:rsid w:val="003F466A"/>
    <w:rsid w:val="003F6221"/>
    <w:rsid w:val="004174D7"/>
    <w:rsid w:val="004446AF"/>
    <w:rsid w:val="00447E5F"/>
    <w:rsid w:val="0045290E"/>
    <w:rsid w:val="004660BE"/>
    <w:rsid w:val="00476DEA"/>
    <w:rsid w:val="00482109"/>
    <w:rsid w:val="004922B4"/>
    <w:rsid w:val="00494740"/>
    <w:rsid w:val="004B7980"/>
    <w:rsid w:val="004D19AA"/>
    <w:rsid w:val="004E32FE"/>
    <w:rsid w:val="004F1776"/>
    <w:rsid w:val="004F26BA"/>
    <w:rsid w:val="004F64CA"/>
    <w:rsid w:val="005022B2"/>
    <w:rsid w:val="005026D9"/>
    <w:rsid w:val="005042D3"/>
    <w:rsid w:val="005131E1"/>
    <w:rsid w:val="005406F4"/>
    <w:rsid w:val="005470F8"/>
    <w:rsid w:val="0057456C"/>
    <w:rsid w:val="00594377"/>
    <w:rsid w:val="005B4215"/>
    <w:rsid w:val="005B534C"/>
    <w:rsid w:val="005D0EEC"/>
    <w:rsid w:val="005E0381"/>
    <w:rsid w:val="005F2D27"/>
    <w:rsid w:val="00605A65"/>
    <w:rsid w:val="00610439"/>
    <w:rsid w:val="00617253"/>
    <w:rsid w:val="00617F12"/>
    <w:rsid w:val="00640BF9"/>
    <w:rsid w:val="00646A42"/>
    <w:rsid w:val="00653BFE"/>
    <w:rsid w:val="00665CA1"/>
    <w:rsid w:val="006667CD"/>
    <w:rsid w:val="006671C5"/>
    <w:rsid w:val="00686EEF"/>
    <w:rsid w:val="006901E1"/>
    <w:rsid w:val="00692916"/>
    <w:rsid w:val="00692EDC"/>
    <w:rsid w:val="006D0C63"/>
    <w:rsid w:val="006D3F7B"/>
    <w:rsid w:val="006D557A"/>
    <w:rsid w:val="006D6B65"/>
    <w:rsid w:val="006E05CB"/>
    <w:rsid w:val="006E34E7"/>
    <w:rsid w:val="006F1A0E"/>
    <w:rsid w:val="0071078E"/>
    <w:rsid w:val="00711B37"/>
    <w:rsid w:val="00721716"/>
    <w:rsid w:val="00722BDF"/>
    <w:rsid w:val="007308BA"/>
    <w:rsid w:val="007324F2"/>
    <w:rsid w:val="00734022"/>
    <w:rsid w:val="0073523B"/>
    <w:rsid w:val="00766504"/>
    <w:rsid w:val="00770076"/>
    <w:rsid w:val="00785FE8"/>
    <w:rsid w:val="00787D88"/>
    <w:rsid w:val="007A55BB"/>
    <w:rsid w:val="007B4294"/>
    <w:rsid w:val="007C3CBA"/>
    <w:rsid w:val="007C5656"/>
    <w:rsid w:val="007E0259"/>
    <w:rsid w:val="007F62C0"/>
    <w:rsid w:val="00807368"/>
    <w:rsid w:val="00822734"/>
    <w:rsid w:val="00824CA0"/>
    <w:rsid w:val="008277DE"/>
    <w:rsid w:val="00832A55"/>
    <w:rsid w:val="00834DD1"/>
    <w:rsid w:val="008367AD"/>
    <w:rsid w:val="0084087D"/>
    <w:rsid w:val="00841CE3"/>
    <w:rsid w:val="008620BC"/>
    <w:rsid w:val="00867213"/>
    <w:rsid w:val="008862A5"/>
    <w:rsid w:val="008864BA"/>
    <w:rsid w:val="00887524"/>
    <w:rsid w:val="00896B24"/>
    <w:rsid w:val="008A5CE1"/>
    <w:rsid w:val="008B41E0"/>
    <w:rsid w:val="008F5718"/>
    <w:rsid w:val="0090195D"/>
    <w:rsid w:val="0090652F"/>
    <w:rsid w:val="0090772B"/>
    <w:rsid w:val="0091232C"/>
    <w:rsid w:val="00923384"/>
    <w:rsid w:val="00925FD4"/>
    <w:rsid w:val="009262FF"/>
    <w:rsid w:val="00933419"/>
    <w:rsid w:val="00944CAC"/>
    <w:rsid w:val="0095602A"/>
    <w:rsid w:val="00980903"/>
    <w:rsid w:val="00982B47"/>
    <w:rsid w:val="009A2354"/>
    <w:rsid w:val="009B74A5"/>
    <w:rsid w:val="009C3B03"/>
    <w:rsid w:val="009D1D7E"/>
    <w:rsid w:val="009F2026"/>
    <w:rsid w:val="00A01C52"/>
    <w:rsid w:val="00A149F9"/>
    <w:rsid w:val="00A15546"/>
    <w:rsid w:val="00A511D5"/>
    <w:rsid w:val="00A55E42"/>
    <w:rsid w:val="00A61D4B"/>
    <w:rsid w:val="00A6360B"/>
    <w:rsid w:val="00A7565D"/>
    <w:rsid w:val="00A82C71"/>
    <w:rsid w:val="00AA02E0"/>
    <w:rsid w:val="00AD59A5"/>
    <w:rsid w:val="00AE6304"/>
    <w:rsid w:val="00AF6FB0"/>
    <w:rsid w:val="00B11482"/>
    <w:rsid w:val="00B11909"/>
    <w:rsid w:val="00B3474D"/>
    <w:rsid w:val="00B374ED"/>
    <w:rsid w:val="00B624E8"/>
    <w:rsid w:val="00B84642"/>
    <w:rsid w:val="00B94322"/>
    <w:rsid w:val="00B9628E"/>
    <w:rsid w:val="00BA3BBD"/>
    <w:rsid w:val="00BA5FA3"/>
    <w:rsid w:val="00BB549F"/>
    <w:rsid w:val="00BD29FF"/>
    <w:rsid w:val="00BE0E7F"/>
    <w:rsid w:val="00BE317E"/>
    <w:rsid w:val="00BF64B9"/>
    <w:rsid w:val="00C13123"/>
    <w:rsid w:val="00C16694"/>
    <w:rsid w:val="00C21FED"/>
    <w:rsid w:val="00C26BA1"/>
    <w:rsid w:val="00C35083"/>
    <w:rsid w:val="00C44DEC"/>
    <w:rsid w:val="00C46C17"/>
    <w:rsid w:val="00C53071"/>
    <w:rsid w:val="00C562EF"/>
    <w:rsid w:val="00C57928"/>
    <w:rsid w:val="00C6141C"/>
    <w:rsid w:val="00C6399B"/>
    <w:rsid w:val="00C72D9A"/>
    <w:rsid w:val="00C7477C"/>
    <w:rsid w:val="00C75DCC"/>
    <w:rsid w:val="00C83426"/>
    <w:rsid w:val="00C85AD9"/>
    <w:rsid w:val="00C87FAE"/>
    <w:rsid w:val="00C9092C"/>
    <w:rsid w:val="00C91A0B"/>
    <w:rsid w:val="00C92106"/>
    <w:rsid w:val="00CC142E"/>
    <w:rsid w:val="00CC6F9B"/>
    <w:rsid w:val="00CD3DB1"/>
    <w:rsid w:val="00CE5A79"/>
    <w:rsid w:val="00CE7217"/>
    <w:rsid w:val="00CF1A6B"/>
    <w:rsid w:val="00CF3199"/>
    <w:rsid w:val="00D044CD"/>
    <w:rsid w:val="00D1445F"/>
    <w:rsid w:val="00D242BB"/>
    <w:rsid w:val="00D24874"/>
    <w:rsid w:val="00D36B8D"/>
    <w:rsid w:val="00D53CBA"/>
    <w:rsid w:val="00D553DD"/>
    <w:rsid w:val="00D56423"/>
    <w:rsid w:val="00D606BF"/>
    <w:rsid w:val="00D61180"/>
    <w:rsid w:val="00D73A7F"/>
    <w:rsid w:val="00D75F1A"/>
    <w:rsid w:val="00D8206A"/>
    <w:rsid w:val="00DA269A"/>
    <w:rsid w:val="00DC2100"/>
    <w:rsid w:val="00DC780F"/>
    <w:rsid w:val="00E0132E"/>
    <w:rsid w:val="00E06021"/>
    <w:rsid w:val="00E07306"/>
    <w:rsid w:val="00E1192B"/>
    <w:rsid w:val="00E2248D"/>
    <w:rsid w:val="00E22C7E"/>
    <w:rsid w:val="00E2321F"/>
    <w:rsid w:val="00E2436F"/>
    <w:rsid w:val="00E7590F"/>
    <w:rsid w:val="00E75CDF"/>
    <w:rsid w:val="00E83A77"/>
    <w:rsid w:val="00EA3AAD"/>
    <w:rsid w:val="00EB08E3"/>
    <w:rsid w:val="00ED6040"/>
    <w:rsid w:val="00EF07C9"/>
    <w:rsid w:val="00F074C0"/>
    <w:rsid w:val="00F11A5B"/>
    <w:rsid w:val="00F161E6"/>
    <w:rsid w:val="00F177B2"/>
    <w:rsid w:val="00F20CEA"/>
    <w:rsid w:val="00F43D06"/>
    <w:rsid w:val="00F441FB"/>
    <w:rsid w:val="00F6708F"/>
    <w:rsid w:val="00F831F2"/>
    <w:rsid w:val="00F879F5"/>
    <w:rsid w:val="00F96397"/>
    <w:rsid w:val="00F97544"/>
    <w:rsid w:val="00FC7379"/>
    <w:rsid w:val="00FD5C61"/>
    <w:rsid w:val="00FF0817"/>
    <w:rsid w:val="00FF0F58"/>
    <w:rsid w:val="00FF48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799717-4F4E-469C-A5D9-DDFA62D0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F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21FED"/>
    <w:rPr>
      <w:rFonts w:ascii="AdvOTbf7bbdaa" w:hAnsi="AdvOTbf7bbdaa" w:hint="default"/>
      <w:b w:val="0"/>
      <w:bCs w:val="0"/>
      <w:i w:val="0"/>
      <w:iCs w:val="0"/>
      <w:color w:val="231F20"/>
      <w:sz w:val="16"/>
      <w:szCs w:val="16"/>
    </w:rPr>
  </w:style>
  <w:style w:type="character" w:styleId="Emphasis">
    <w:name w:val="Emphasis"/>
    <w:basedOn w:val="DefaultParagraphFont"/>
    <w:uiPriority w:val="20"/>
    <w:qFormat/>
    <w:rsid w:val="009C3B03"/>
    <w:rPr>
      <w:i/>
      <w:iCs/>
    </w:rPr>
  </w:style>
  <w:style w:type="character" w:customStyle="1" w:styleId="st">
    <w:name w:val="st"/>
    <w:basedOn w:val="DefaultParagraphFont"/>
    <w:rsid w:val="009C3B03"/>
  </w:style>
  <w:style w:type="character" w:styleId="SubtleEmphasis">
    <w:name w:val="Subtle Emphasis"/>
    <w:basedOn w:val="DefaultParagraphFont"/>
    <w:uiPriority w:val="19"/>
    <w:qFormat/>
    <w:rsid w:val="009C3B03"/>
    <w:rPr>
      <w:i/>
      <w:iCs/>
      <w:color w:val="404040" w:themeColor="text1" w:themeTint="BF"/>
    </w:rPr>
  </w:style>
  <w:style w:type="paragraph" w:styleId="Header">
    <w:name w:val="header"/>
    <w:basedOn w:val="Normal"/>
    <w:link w:val="HeaderChar"/>
    <w:uiPriority w:val="99"/>
    <w:unhideWhenUsed/>
    <w:rsid w:val="00D14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45F"/>
  </w:style>
  <w:style w:type="paragraph" w:styleId="Footer">
    <w:name w:val="footer"/>
    <w:basedOn w:val="Normal"/>
    <w:link w:val="FooterChar"/>
    <w:uiPriority w:val="99"/>
    <w:unhideWhenUsed/>
    <w:rsid w:val="00D14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45F"/>
  </w:style>
  <w:style w:type="character" w:styleId="Strong">
    <w:name w:val="Strong"/>
    <w:basedOn w:val="DefaultParagraphFont"/>
    <w:uiPriority w:val="22"/>
    <w:qFormat/>
    <w:rsid w:val="00824CA0"/>
    <w:rPr>
      <w:b/>
      <w:bCs/>
    </w:rPr>
  </w:style>
  <w:style w:type="character" w:customStyle="1" w:styleId="text">
    <w:name w:val="text"/>
    <w:basedOn w:val="DefaultParagraphFont"/>
    <w:rsid w:val="001D4301"/>
  </w:style>
  <w:style w:type="paragraph" w:styleId="ListParagraph">
    <w:name w:val="List Paragraph"/>
    <w:basedOn w:val="Normal"/>
    <w:uiPriority w:val="34"/>
    <w:qFormat/>
    <w:rsid w:val="00CF1A6B"/>
    <w:pPr>
      <w:ind w:left="720"/>
      <w:contextualSpacing/>
    </w:pPr>
  </w:style>
  <w:style w:type="paragraph" w:styleId="BalloonText">
    <w:name w:val="Balloon Text"/>
    <w:basedOn w:val="Normal"/>
    <w:link w:val="BalloonTextChar"/>
    <w:uiPriority w:val="99"/>
    <w:semiHidden/>
    <w:unhideWhenUsed/>
    <w:rsid w:val="00E06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0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1761">
      <w:bodyDiv w:val="1"/>
      <w:marLeft w:val="0"/>
      <w:marRight w:val="0"/>
      <w:marTop w:val="0"/>
      <w:marBottom w:val="0"/>
      <w:divBdr>
        <w:top w:val="none" w:sz="0" w:space="0" w:color="auto"/>
        <w:left w:val="none" w:sz="0" w:space="0" w:color="auto"/>
        <w:bottom w:val="none" w:sz="0" w:space="0" w:color="auto"/>
        <w:right w:val="none" w:sz="0" w:space="0" w:color="auto"/>
      </w:divBdr>
    </w:div>
    <w:div w:id="30998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DDED2-4F13-4D04-939B-849536DB8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12</Pages>
  <Words>25441</Words>
  <Characters>145018</Characters>
  <Application>Microsoft Office Word</Application>
  <DocSecurity>0</DocSecurity>
  <Lines>1208</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farzaneh vafaee</dc:creator>
  <cp:keywords/>
  <dc:description/>
  <cp:lastModifiedBy>farzaneh vafaee</cp:lastModifiedBy>
  <cp:revision>11</cp:revision>
  <dcterms:created xsi:type="dcterms:W3CDTF">2018-09-01T06:08:00Z</dcterms:created>
  <dcterms:modified xsi:type="dcterms:W3CDTF">2018-09-08T09:26:00Z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http://csl.mendeley.com/styles/515972531/vancouver-4</vt:lpwstr>
  </property>
  <property fmtid="{D5CDD505-2E9C-101B-9397-08002B2CF9AE}" pid="21" name="Mendeley Recent Style Name 9_1">
    <vt:lpwstr>Vancouver - farzaneh vafaee</vt:lpwstr>
  </property>
  <property fmtid="{D5CDD505-2E9C-101B-9397-08002B2CF9AE}" pid="22" name="Mendeley Document_1">
    <vt:lpwstr>True</vt:lpwstr>
  </property>
  <property fmtid="{D5CDD505-2E9C-101B-9397-08002B2CF9AE}" pid="23" name="Mendeley Unique User Id_1">
    <vt:lpwstr>218324b3-463a-3d51-a465-3874d80d3cc5</vt:lpwstr>
  </property>
  <property fmtid="{D5CDD505-2E9C-101B-9397-08002B2CF9AE}" pid="24" name="Mendeley Citation Style_1">
    <vt:lpwstr>http://csl.mendeley.com/styles/515972531/vancouver-4</vt:lpwstr>
  </property>
</Properties>
</file>