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26" w:rsidRDefault="00381626" w:rsidP="00C67C68">
      <w:pPr>
        <w:pStyle w:val="Default"/>
        <w:jc w:val="both"/>
        <w:rPr>
          <w:b/>
          <w:bCs/>
        </w:rPr>
      </w:pPr>
      <w:r>
        <w:rPr>
          <w:b/>
          <w:bCs/>
        </w:rPr>
        <w:t>Title page</w:t>
      </w:r>
    </w:p>
    <w:p w:rsidR="00381626" w:rsidRDefault="00381626" w:rsidP="00C67C68">
      <w:pPr>
        <w:pStyle w:val="Default"/>
        <w:jc w:val="both"/>
        <w:rPr>
          <w:b/>
          <w:bCs/>
        </w:rPr>
      </w:pPr>
    </w:p>
    <w:p w:rsidR="00C67C68" w:rsidRPr="00BE7E5F" w:rsidRDefault="00C67C68" w:rsidP="00C67C68">
      <w:pPr>
        <w:pStyle w:val="Default"/>
        <w:jc w:val="both"/>
        <w:rPr>
          <w:b/>
          <w:bCs/>
          <w:sz w:val="28"/>
          <w:szCs w:val="28"/>
        </w:rPr>
      </w:pPr>
      <w:r w:rsidRPr="00BE7E5F">
        <w:rPr>
          <w:b/>
          <w:bCs/>
          <w:sz w:val="28"/>
          <w:szCs w:val="28"/>
        </w:rPr>
        <w:t>Is It Helpful to Show Angiograms to Patients After Elective Percutaneous Coronary Intervention? Effects on Anxiety and Illness Perception</w:t>
      </w:r>
    </w:p>
    <w:p w:rsidR="00381626" w:rsidRPr="00BE7E5F" w:rsidRDefault="00381626" w:rsidP="00C67C68">
      <w:pPr>
        <w:pStyle w:val="Default"/>
        <w:jc w:val="both"/>
        <w:rPr>
          <w:b/>
          <w:bCs/>
          <w:sz w:val="28"/>
          <w:szCs w:val="28"/>
        </w:rPr>
      </w:pPr>
    </w:p>
    <w:p w:rsidR="00381626" w:rsidRDefault="00381626" w:rsidP="00A8659C">
      <w:pPr>
        <w:pStyle w:val="Default"/>
        <w:jc w:val="both"/>
      </w:pPr>
    </w:p>
    <w:p w:rsidR="00381626" w:rsidRDefault="00381626" w:rsidP="00381626">
      <w:pPr>
        <w:pStyle w:val="Default"/>
        <w:jc w:val="both"/>
        <w:rPr>
          <w:b/>
          <w:bCs/>
        </w:rPr>
      </w:pPr>
      <w:r w:rsidRPr="008F376F">
        <w:rPr>
          <w:b/>
          <w:bCs/>
        </w:rPr>
        <w:t>ABSTRACT</w:t>
      </w:r>
    </w:p>
    <w:p w:rsidR="00C67C68" w:rsidRPr="008F376F" w:rsidRDefault="00C67C68" w:rsidP="00C67C68">
      <w:pPr>
        <w:pStyle w:val="Default"/>
        <w:jc w:val="both"/>
      </w:pPr>
    </w:p>
    <w:p w:rsidR="00C67C68" w:rsidRPr="008F376F" w:rsidRDefault="00DD0154" w:rsidP="008E2DF5">
      <w:pPr>
        <w:pStyle w:val="Default"/>
        <w:spacing w:line="480" w:lineRule="auto"/>
        <w:jc w:val="both"/>
      </w:pPr>
      <w:r w:rsidRPr="00DD0154">
        <w:rPr>
          <w:b/>
          <w:bCs/>
        </w:rPr>
        <w:t>Background:</w:t>
      </w:r>
      <w:r>
        <w:t xml:space="preserve"> </w:t>
      </w:r>
      <w:r w:rsidR="00C67C68" w:rsidRPr="008F376F">
        <w:t>A</w:t>
      </w:r>
      <w:r w:rsidR="008E2DF5">
        <w:t>s a</w:t>
      </w:r>
      <w:r w:rsidR="00C67C68" w:rsidRPr="008F376F">
        <w:t xml:space="preserve">n invasive modality, coronary angioplasty may cause a great deal of anxiety in patients and affect their mental health and general well-being. Accordingly, we sought to assess whether showing patients the video of their elective percutaneous coronary intervention (angiogram) could affect their illness perception and anxiety level. </w:t>
      </w:r>
    </w:p>
    <w:p w:rsidR="00C67C68" w:rsidRPr="008F376F" w:rsidRDefault="00DD0154" w:rsidP="00D5066D">
      <w:pPr>
        <w:pStyle w:val="Default"/>
        <w:spacing w:line="480" w:lineRule="auto"/>
        <w:jc w:val="both"/>
      </w:pPr>
      <w:r w:rsidRPr="00DD0154">
        <w:rPr>
          <w:b/>
          <w:bCs/>
        </w:rPr>
        <w:t>Methods:</w:t>
      </w:r>
      <w:r>
        <w:t xml:space="preserve"> </w:t>
      </w:r>
      <w:r w:rsidR="00212851">
        <w:t>In t</w:t>
      </w:r>
      <w:r w:rsidR="00C67C68" w:rsidRPr="008F376F">
        <w:t>his randomized clinical trial</w:t>
      </w:r>
      <w:r w:rsidR="00212851">
        <w:t xml:space="preserve">, the patients </w:t>
      </w:r>
      <w:r w:rsidR="00C67C68" w:rsidRPr="008F376F">
        <w:t>undergoing angioplasty</w:t>
      </w:r>
      <w:r w:rsidR="000106E3">
        <w:t>,</w:t>
      </w:r>
      <w:r w:rsidR="00C67C68" w:rsidRPr="008F376F">
        <w:t xml:space="preserve"> were randomly divided into 2 groups of 30 patients. Angiograms were shown only to the intervention group </w:t>
      </w:r>
      <w:proofErr w:type="spellStart"/>
      <w:r w:rsidR="00C67C68" w:rsidRPr="008F376F">
        <w:t>postprocedurally</w:t>
      </w:r>
      <w:proofErr w:type="spellEnd"/>
      <w:r w:rsidR="00C67C68" w:rsidRPr="008F376F">
        <w:t xml:space="preserve">. A checklist comprising demographic data and clinical presentations as well as the Beck anxiety questionnaire and the Brief Illness Perception Questionnaire (BIPQ) was completed for each patient immediately after the intervention and 1 month later. The differences in the patients’ anxiety level and illness perception were analyzed. </w:t>
      </w:r>
    </w:p>
    <w:p w:rsidR="00C67C68" w:rsidRPr="008F376F" w:rsidRDefault="00DD0154" w:rsidP="00212851">
      <w:pPr>
        <w:pStyle w:val="Default"/>
        <w:spacing w:line="480" w:lineRule="auto"/>
        <w:jc w:val="both"/>
      </w:pPr>
      <w:r w:rsidRPr="00DD0154">
        <w:rPr>
          <w:b/>
          <w:bCs/>
        </w:rPr>
        <w:t>Results:</w:t>
      </w:r>
      <w:r>
        <w:t xml:space="preserve"> </w:t>
      </w:r>
      <w:r w:rsidR="00C67C68" w:rsidRPr="008F376F">
        <w:t>The mean anxiety score before and after watching the angiograms was 34.26 ± 8.1 and 24.4 ± 8.56 in the case group, while the score before and after angioplasty was 34.46 ± 9.34 and 26.6 ± 9.44 in the control group, respectively. Thus, watching angiograms led to a significant decrease in the a</w:t>
      </w:r>
      <w:r w:rsidR="00212851">
        <w:t>nxiety score in the case group</w:t>
      </w:r>
      <w:r w:rsidR="00C67C68" w:rsidRPr="008F376F">
        <w:t xml:space="preserve"> whereas there was no such difference in the control group. There was also a significant difference in the anxiety score between the 2 groups. Further, there was a significant decrease in the BIPQ score of the case group after watching the angioplasty videos</w:t>
      </w:r>
      <w:r w:rsidR="004F2A17">
        <w:t>.</w:t>
      </w:r>
    </w:p>
    <w:p w:rsidR="00C67C68" w:rsidRDefault="00DD0154" w:rsidP="00503C7C">
      <w:pPr>
        <w:pStyle w:val="Default"/>
        <w:spacing w:line="480" w:lineRule="auto"/>
        <w:jc w:val="both"/>
      </w:pPr>
      <w:r w:rsidRPr="00DD0154">
        <w:rPr>
          <w:b/>
          <w:bCs/>
        </w:rPr>
        <w:lastRenderedPageBreak/>
        <w:t>Conclusion:</w:t>
      </w:r>
      <w:r>
        <w:t xml:space="preserve"> </w:t>
      </w:r>
      <w:r w:rsidR="00C67C68" w:rsidRPr="008F376F">
        <w:t xml:space="preserve">Educating cardiovascular patients about diagnostic and therapeutic procedures may confer such good outcomes as alleviated anxiety, enhanced satisfaction, and ultimately fewer anxiety-related complications. </w:t>
      </w:r>
    </w:p>
    <w:p w:rsidR="0083525F" w:rsidRDefault="0083525F" w:rsidP="00503C7C">
      <w:pPr>
        <w:pStyle w:val="Default"/>
        <w:spacing w:line="480" w:lineRule="auto"/>
        <w:jc w:val="both"/>
      </w:pPr>
    </w:p>
    <w:p w:rsidR="00C67C68" w:rsidRPr="008F376F" w:rsidRDefault="0083525F" w:rsidP="00503C7C">
      <w:pPr>
        <w:pStyle w:val="Default"/>
        <w:spacing w:line="480" w:lineRule="auto"/>
        <w:jc w:val="both"/>
      </w:pPr>
      <w:r>
        <w:rPr>
          <w:b/>
          <w:bCs/>
        </w:rPr>
        <w:t>KEYWORDS</w:t>
      </w:r>
      <w:r w:rsidR="002425BA">
        <w:rPr>
          <w:b/>
          <w:bCs/>
        </w:rPr>
        <w:t>:</w:t>
      </w:r>
      <w:r>
        <w:rPr>
          <w:b/>
          <w:bCs/>
        </w:rPr>
        <w:t xml:space="preserve"> </w:t>
      </w:r>
      <w:r w:rsidR="00C67C68" w:rsidRPr="008F376F">
        <w:t xml:space="preserve">Coronary heart disease, Percutaneous coronary intervention, Anxiety, Beck anxiety questionnaire, BIPQ </w:t>
      </w:r>
    </w:p>
    <w:p w:rsidR="00C67C68" w:rsidRPr="008F376F" w:rsidRDefault="00C67C68" w:rsidP="00C67C68">
      <w:pPr>
        <w:pStyle w:val="Default"/>
        <w:pageBreakBefore/>
        <w:jc w:val="both"/>
      </w:pPr>
      <w:r w:rsidRPr="008F376F">
        <w:rPr>
          <w:b/>
          <w:bCs/>
        </w:rPr>
        <w:lastRenderedPageBreak/>
        <w:t>INTRODUCTION</w:t>
      </w:r>
    </w:p>
    <w:p w:rsidR="00C67C68" w:rsidRPr="008F376F" w:rsidRDefault="00C67C68" w:rsidP="00C67C68">
      <w:pPr>
        <w:pStyle w:val="Default"/>
        <w:jc w:val="both"/>
      </w:pPr>
    </w:p>
    <w:p w:rsidR="00C67C68" w:rsidRPr="008F376F" w:rsidRDefault="00C67C68" w:rsidP="00315143">
      <w:pPr>
        <w:pStyle w:val="Default"/>
        <w:spacing w:line="480" w:lineRule="auto"/>
        <w:ind w:firstLine="720"/>
        <w:jc w:val="both"/>
      </w:pPr>
      <w:r w:rsidRPr="008F376F">
        <w:t>Nowadays cardiovascular disease is one of the most common health problems and the leading cause of death around the globe</w:t>
      </w:r>
      <w:r w:rsidR="000A2056">
        <w:t xml:space="preserve"> </w:t>
      </w:r>
      <w:r w:rsidR="00BE4261">
        <w:fldChar w:fldCharType="begin"/>
      </w:r>
      <w:r w:rsidR="00315143">
        <w:instrText xml:space="preserve"> ADDIN EN.CITE &lt;EndNote&gt;&lt;Cite&gt;&lt;Author&gt;Melanie&lt;/Author&gt;&lt;Year&gt;2014&lt;/Year&gt;&lt;RecNum&gt;1&lt;/RecNum&gt;&lt;DisplayText&gt;[1]&lt;/DisplayText&gt;&lt;record&gt;&lt;rec-number&gt;1&lt;/rec-number&gt;&lt;foreign-keys&gt;&lt;key app="EN" db-id="zd922rvvwxa999e0xv0xf2002p9zw2ztxawe" timestamp="1550244708"&gt;1&lt;/key&gt;&lt;/foreign-keys&gt;&lt;ref-type name="Journal Article"&gt;17&lt;/ref-type&gt;&lt;contributors&gt;&lt;authors&gt;&lt;author&gt;Nichols Melanie&lt;/author&gt;&lt;author&gt;Townsend Nick&lt;/author&gt;&lt;author&gt;Scarborough Peter &lt;/author&gt;&lt;author&gt;Rayner Mike&lt;/author&gt;&lt;/authors&gt;&lt;/contributors&gt;&lt;titles&gt;&lt;title&gt;Cardiovascular disease in Europe 2014: epidemiological update&lt;/title&gt;&lt;secondary-title&gt;European Heart Journal&lt;/secondary-title&gt;&lt;/titles&gt;&lt;periodical&gt;&lt;full-title&gt;European Heart Journal&lt;/full-title&gt;&lt;/periodical&gt;&lt;pages&gt;10&lt;/pages&gt;&lt;volume&gt;35&lt;/volume&gt;&lt;number&gt;42&lt;/number&gt;&lt;section&gt;2950&lt;/section&gt;&lt;dates&gt;&lt;year&gt;2014&lt;/year&gt;&lt;/dates&gt;&lt;urls&gt;&lt;/urls&gt;&lt;/record&gt;&lt;/Cite&gt;&lt;/EndNote&gt;</w:instrText>
      </w:r>
      <w:r w:rsidR="00BE4261">
        <w:fldChar w:fldCharType="separate"/>
      </w:r>
      <w:r w:rsidR="00315143">
        <w:rPr>
          <w:noProof/>
        </w:rPr>
        <w:t>[1]</w:t>
      </w:r>
      <w:r w:rsidR="00BE4261">
        <w:fldChar w:fldCharType="end"/>
      </w:r>
      <w:r w:rsidR="00BE4261">
        <w:t>;</w:t>
      </w:r>
      <w:r w:rsidR="00DD213F">
        <w:t xml:space="preserve"> </w:t>
      </w:r>
      <w:r w:rsidR="00BE4261">
        <w:fldChar w:fldCharType="begin"/>
      </w:r>
      <w:r w:rsidR="00315143">
        <w:instrText xml:space="preserve"> ADDIN EN.CITE &lt;EndNote&gt;&lt;Cite&gt;&lt;Author&gt;Nick&lt;/Author&gt;&lt;Year&gt;2015&lt;/Year&gt;&lt;RecNum&gt;2&lt;/RecNum&gt;&lt;DisplayText&gt;[2]&lt;/DisplayText&gt;&lt;record&gt;&lt;rec-number&gt;2&lt;/rec-number&gt;&lt;foreign-keys&gt;&lt;key app="EN" db-id="zd922rvvwxa999e0xv0xf2002p9zw2ztxawe" timestamp="1550244708"&gt;2&lt;/key&gt;&lt;/foreign-keys&gt;&lt;ref-type name="Journal Article"&gt;17&lt;/ref-type&gt;&lt;contributors&gt;&lt;authors&gt;&lt;author&gt;Townsend Nick &lt;/author&gt;&lt;author&gt;Nichols Melanie &lt;/author&gt;&lt;author&gt;Scarborough Peter &lt;/author&gt;&lt;author&gt;Rayner Mike&lt;/author&gt;&lt;/authors&gt;&lt;/contributors&gt;&lt;titles&gt;&lt;title&gt;Cardiovascular disease in Europe 2015: epidemiological update&lt;/title&gt;&lt;secondary-title&gt;European heart journal&lt;/secondary-title&gt;&lt;/titles&gt;&lt;periodical&gt;&lt;full-title&gt;European Heart Journal&lt;/full-title&gt;&lt;/periodical&gt;&lt;pages&gt;2&lt;/pages&gt;&lt;volume&gt;36&lt;/volume&gt;&lt;number&gt;40&lt;/number&gt;&lt;section&gt;2673&lt;/section&gt;&lt;dates&gt;&lt;year&gt;2015&lt;/year&gt;&lt;/dates&gt;&lt;urls&gt;&lt;/urls&gt;&lt;/record&gt;&lt;/Cite&gt;&lt;/EndNote&gt;</w:instrText>
      </w:r>
      <w:r w:rsidR="00BE4261">
        <w:fldChar w:fldCharType="separate"/>
      </w:r>
      <w:r w:rsidR="00315143">
        <w:rPr>
          <w:noProof/>
        </w:rPr>
        <w:t>[2]</w:t>
      </w:r>
      <w:r w:rsidR="00BE4261">
        <w:fldChar w:fldCharType="end"/>
      </w:r>
      <w:r w:rsidR="008E7BEA">
        <w:t xml:space="preserve">; </w:t>
      </w:r>
      <w:r w:rsidR="00BE4261">
        <w:fldChar w:fldCharType="begin"/>
      </w:r>
      <w:r w:rsidR="00315143">
        <w:instrText xml:space="preserve"> ADDIN EN.CITE &lt;EndNote&gt;&lt;Cite&gt;&lt;Author&gt;Jadeja&lt;/Author&gt;&lt;Year&gt;2013&lt;/Year&gt;&lt;RecNum&gt;3&lt;/RecNum&gt;&lt;DisplayText&gt;[3]&lt;/DisplayText&gt;&lt;record&gt;&lt;rec-number&gt;3&lt;/rec-number&gt;&lt;foreign-keys&gt;&lt;key app="EN" db-id="zd922rvvwxa999e0xv0xf2002p9zw2ztxawe" timestamp="1550244708"&gt;3&lt;/key&gt;&lt;/foreign-keys&gt;&lt;ref-type name="Journal Article"&gt;17&lt;/ref-type&gt;&lt;contributors&gt;&lt;authors&gt;&lt;author&gt;Pagidipati Neha Jadeja&lt;/author&gt;&lt;author&gt;Gaziano Thomas A&lt;/author&gt;&lt;/authors&gt;&lt;/contributors&gt;&lt;titles&gt;&lt;title&gt;Estimating deaths from cardiovascular disease: a review of global methodologies of mortality measurement&lt;/title&gt;&lt;secondary-title&gt;Circulation&lt;/secondary-title&gt;&lt;/titles&gt;&lt;periodical&gt;&lt;full-title&gt;Circulation&lt;/full-title&gt;&lt;/periodical&gt;&lt;pages&gt;7&lt;/pages&gt;&lt;volume&gt;127&lt;/volume&gt;&lt;number&gt;6&lt;/number&gt;&lt;section&gt;749&lt;/section&gt;&lt;dates&gt;&lt;year&gt;2013&lt;/year&gt;&lt;/dates&gt;&lt;urls&gt;&lt;/urls&gt;&lt;/record&gt;&lt;/Cite&gt;&lt;/EndNote&gt;</w:instrText>
      </w:r>
      <w:r w:rsidR="00BE4261">
        <w:fldChar w:fldCharType="separate"/>
      </w:r>
      <w:r w:rsidR="00315143">
        <w:rPr>
          <w:noProof/>
        </w:rPr>
        <w:t>[3]</w:t>
      </w:r>
      <w:r w:rsidR="00BE4261">
        <w:fldChar w:fldCharType="end"/>
      </w:r>
      <w:r w:rsidR="008E7BEA">
        <w:t xml:space="preserve">. </w:t>
      </w:r>
      <w:r w:rsidRPr="008F376F">
        <w:t xml:space="preserve">Various revascularization techniques are currently in wide use for the treatment of patients with coronary artery disease. Similar to many treatment procedures, percutaneous coronary intervention (PCI) is associated with some complications such as myocardial infarction, stroke, transient ischemic attack, renal failure, and even death </w:t>
      </w:r>
      <w:r w:rsidR="00A1010E">
        <w:fldChar w:fldCharType="begin"/>
      </w:r>
      <w:r w:rsidR="00315143">
        <w:instrText xml:space="preserve"> ADDIN EN.CITE &lt;EndNote&gt;&lt;Cite&gt;&lt;Author&gt;V&lt;/Author&gt;&lt;Year&gt;2010&lt;/Year&gt;&lt;RecNum&gt;4&lt;/RecNum&gt;&lt;DisplayText&gt;[4]&lt;/DisplayText&gt;&lt;record&gt;&lt;rec-number&gt;4&lt;/rec-number&gt;&lt;foreign-keys&gt;&lt;key app="EN" db-id="zd922rvvwxa999e0xv0xf2002p9zw2ztxawe" timestamp="1550244708"&gt;4&lt;/key&gt;&lt;/foreign-keys&gt;&lt;ref-type name="Journal Article"&gt;17&lt;/ref-type&gt;&lt;contributors&gt;&lt;authors&gt;&lt;author&gt;Rao Sunil V&lt;/author&gt;&lt;author&gt;Cohen Mauriocio G&lt;/author&gt;&lt;author&gt;Kandzari David E &lt;/author&gt;&lt;author&gt;Bertrand Olivier F&lt;/author&gt;&lt;author&gt;Gilchrist Ian C&lt;/author&gt;&lt;/authors&gt;&lt;/contributors&gt;&lt;titles&gt;&lt;title&gt;The transradial approach to percutaneous coronary intervention: historical perspective, current concepts, and future directions&lt;/title&gt;&lt;secondary-title&gt;Journal of the American College of Cardiology&lt;/secondary-title&gt;&lt;/titles&gt;&lt;periodical&gt;&lt;full-title&gt;Journal of the American College of Cardiology&lt;/full-title&gt;&lt;/periodical&gt;&lt;pages&gt;9&lt;/pages&gt;&lt;volume&gt;55&lt;/volume&gt;&lt;number&gt;20&lt;/number&gt;&lt;section&gt;2187&lt;/section&gt;&lt;dates&gt;&lt;year&gt;2010&lt;/year&gt;&lt;/dates&gt;&lt;urls&gt;&lt;/urls&gt;&lt;/record&gt;&lt;/Cite&gt;&lt;/EndNote&gt;</w:instrText>
      </w:r>
      <w:r w:rsidR="00A1010E">
        <w:fldChar w:fldCharType="separate"/>
      </w:r>
      <w:r w:rsidR="00315143">
        <w:rPr>
          <w:noProof/>
        </w:rPr>
        <w:t>[4]</w:t>
      </w:r>
      <w:r w:rsidR="00A1010E">
        <w:fldChar w:fldCharType="end"/>
      </w:r>
      <w:r w:rsidR="006C2DFC">
        <w:t xml:space="preserve">; </w:t>
      </w:r>
      <w:r w:rsidR="00A1010E">
        <w:fldChar w:fldCharType="begin"/>
      </w:r>
      <w:r w:rsidR="00315143">
        <w:instrText xml:space="preserve"> ADDIN EN.CITE &lt;EndNote&gt;&lt;Cite&gt;&lt;Author&gt;Sumeet&lt;/Author&gt;&lt;Year&gt;2012&lt;/Year&gt;&lt;RecNum&gt;5&lt;/RecNum&gt;&lt;DisplayText&gt;[5]&lt;/DisplayText&gt;&lt;record&gt;&lt;rec-number&gt;5&lt;/rec-number&gt;&lt;foreign-keys&gt;&lt;key app="EN" db-id="zd922rvvwxa999e0xv0xf2002p9zw2ztxawe" timestamp="1550244708"&gt;5&lt;/key&gt;&lt;/foreign-keys&gt;&lt;ref-type name="Journal Article"&gt;17&lt;/ref-type&gt;&lt;contributors&gt;&lt;authors&gt;&lt;author&gt;Subherwal Sumeet&lt;/author&gt;&lt;author&gt;Peterson Eric D &lt;/author&gt;&lt;author&gt;Dai David&lt;/author&gt;&lt;author&gt;Thomas Laine&lt;/author&gt;&lt;author&gt;Messenger John C&lt;/author&gt;&lt;author&gt;Xian Ying&lt;/author&gt;&lt;author&gt;Brindis Ralph G&lt;/author&gt;&lt;author&gt;Feldman Dmitriy N&lt;/author&gt;&lt;author&gt;Senter Shaun &lt;/author&gt;&lt;author&gt;Klein Lloyd W&lt;/author&gt;&lt;author&gt;Marso Steven P&lt;/author&gt;&lt;author&gt;Roe Matthew T&lt;/author&gt;&lt;author&gt;Rao Sunil V&lt;/author&gt;&lt;/authors&gt;&lt;/contributors&gt;&lt;titles&gt;&lt;title&gt;Temporal trends in and factors associated with bleeding complications among patients undergoing percutaneous coronary intervention: a report from the National Cardiovascular Data CathPCI Registry&lt;/title&gt;&lt;secondary-title&gt;J Am Coll Cardiol&lt;/secondary-title&gt;&lt;/titles&gt;&lt;periodical&gt;&lt;full-title&gt;J Am Coll Cardiol&lt;/full-title&gt;&lt;/periodical&gt;&lt;pages&gt;9&lt;/pages&gt;&lt;volume&gt;59&lt;/volume&gt;&lt;number&gt;21&lt;/number&gt;&lt;section&gt;1861&lt;/section&gt;&lt;dates&gt;&lt;year&gt;2012&lt;/year&gt;&lt;/dates&gt;&lt;urls&gt;&lt;/urls&gt;&lt;/record&gt;&lt;/Cite&gt;&lt;/EndNote&gt;</w:instrText>
      </w:r>
      <w:r w:rsidR="00A1010E">
        <w:fldChar w:fldCharType="separate"/>
      </w:r>
      <w:r w:rsidR="00315143">
        <w:rPr>
          <w:noProof/>
        </w:rPr>
        <w:t>[5]</w:t>
      </w:r>
      <w:r w:rsidR="00A1010E">
        <w:fldChar w:fldCharType="end"/>
      </w:r>
      <w:r w:rsidR="006C2DFC">
        <w:t xml:space="preserve">; </w:t>
      </w:r>
      <w:r w:rsidR="00A1010E">
        <w:fldChar w:fldCharType="begin"/>
      </w:r>
      <w:r w:rsidR="00315143">
        <w:instrText xml:space="preserve"> ADDIN EN.CITE &lt;EndNote&gt;&lt;Cite&gt;&lt;Author&gt;P&lt;/Author&gt;&lt;Year&gt;2010&lt;/Year&gt;&lt;RecNum&gt;6&lt;/RecNum&gt;&lt;DisplayText&gt;[6]&lt;/DisplayText&gt;&lt;record&gt;&lt;rec-number&gt;6&lt;/rec-number&gt;&lt;foreign-keys&gt;&lt;key app="EN" db-id="zd922rvvwxa999e0xv0xf2002p9zw2ztxawe" timestamp="1550244708"&gt;6&lt;/key&gt;&lt;/foreign-keys&gt;&lt;ref-type name="Journal Article"&gt;17&lt;/ref-type&gt;&lt;contributors&gt;&lt;authors&gt;&lt;author&gt;Marso Steven P&lt;/author&gt;&lt;author&gt;Amin Amit P &lt;/author&gt;&lt;author&gt;House John A &lt;/author&gt;&lt;author&gt;Kennedy Kevin F &lt;/author&gt;&lt;author&gt;Spertus John A &lt;/author&gt;&lt;author&gt;Rao Sunil V&lt;/author&gt;&lt;author&gt;Cohen David J&lt;/author&gt;&lt;author&gt;Messenger John C&lt;/author&gt;&lt;author&gt;Rumsfeld John S&lt;/author&gt;&lt;/authors&gt;&lt;/contributors&gt;&lt;titles&gt;&lt;title&gt;Association between use of bleeding avoidance strategies and risk of periprocedural bleeding among patients undergoing percutaneous coronary intervention&lt;/title&gt;&lt;secondary-title&gt;JAMA&lt;/secondary-title&gt;&lt;/titles&gt;&lt;periodical&gt;&lt;full-title&gt;JAMA&lt;/full-title&gt;&lt;/periodical&gt;&lt;pages&gt;9&lt;/pages&gt;&lt;volume&gt;303&lt;/volume&gt;&lt;number&gt;21&lt;/number&gt;&lt;section&gt;2156&lt;/section&gt;&lt;dates&gt;&lt;year&gt;2010&lt;/year&gt;&lt;/dates&gt;&lt;urls&gt;&lt;/urls&gt;&lt;/record&gt;&lt;/Cite&gt;&lt;/EndNote&gt;</w:instrText>
      </w:r>
      <w:r w:rsidR="00A1010E">
        <w:fldChar w:fldCharType="separate"/>
      </w:r>
      <w:r w:rsidR="00315143">
        <w:rPr>
          <w:noProof/>
        </w:rPr>
        <w:t>[6]</w:t>
      </w:r>
      <w:r w:rsidR="00A1010E">
        <w:fldChar w:fldCharType="end"/>
      </w:r>
      <w:r w:rsidR="006C2DFC" w:rsidRPr="00107B5A">
        <w:t xml:space="preserve"> </w:t>
      </w:r>
      <w:r w:rsidRPr="008F376F">
        <w:t xml:space="preserve">and thus patient anxiety and discomfort. </w:t>
      </w:r>
    </w:p>
    <w:p w:rsidR="00C67C68" w:rsidRPr="008F376F" w:rsidRDefault="00C67C68" w:rsidP="00315143">
      <w:pPr>
        <w:pStyle w:val="Default"/>
        <w:spacing w:line="480" w:lineRule="auto"/>
        <w:ind w:firstLine="720"/>
        <w:jc w:val="both"/>
      </w:pPr>
      <w:r w:rsidRPr="008F376F">
        <w:t xml:space="preserve">Anxiety is the most common mental disorder and is a prevalent psychological reaction in response to new changes and experiments. Depression and anxiety are common in patients with cardiovascular disease. Research has indicated that anxiety along with certain other conditions can exacerbate cardiovascular disease and should be deemed a strong and independent risk factor </w:t>
      </w:r>
      <w:r>
        <w:t>for</w:t>
      </w:r>
      <w:r w:rsidRPr="008F376F">
        <w:t xml:space="preserve"> mortality in cardiovascular disease</w:t>
      </w:r>
      <w:r w:rsidR="006C2DFC">
        <w:t xml:space="preserve"> </w:t>
      </w:r>
      <w:r w:rsidR="00A1010E">
        <w:fldChar w:fldCharType="begin"/>
      </w:r>
      <w:r w:rsidR="00315143">
        <w:instrText xml:space="preserve"> ADDIN EN.CITE &lt;EndNote&gt;&lt;Cite&gt;&lt;Author&gt;Roberto&lt;/Author&gt;&lt;Year&gt;2010&lt;/Year&gt;&lt;RecNum&gt;7&lt;/RecNum&gt;&lt;DisplayText&gt;[7]&lt;/DisplayText&gt;&lt;record&gt;&lt;rec-number&gt;7&lt;/rec-number&gt;&lt;foreign-keys&gt;&lt;key app="EN" db-id="zd922rvvwxa999e0xv0xf2002p9zw2ztxawe" timestamp="1550244708"&gt;7&lt;/key&gt;&lt;/foreign-keys&gt;&lt;ref-type name="Journal Article"&gt;17&lt;/ref-type&gt;&lt;contributors&gt;&lt;authors&gt;&lt;author&gt;Lewis-Fernandez Roberto&lt;/author&gt;&lt;author&gt;Hinton Devon E&lt;/author&gt;&lt;author&gt;Laria Amaro J&lt;/author&gt;&lt;author&gt;Patterson Elissa H&lt;/author&gt;&lt;author&gt;Hofmann Stefan G&lt;/author&gt;&lt;author&gt;Craske Michelle G&lt;/author&gt;&lt;author&gt;stein Dan J&lt;/author&gt;&lt;author&gt;Asnaani Anu&lt;/author&gt;&lt;author&gt;Liao Betty&lt;/author&gt;&lt;/authors&gt;&lt;/contributors&gt;&lt;titles&gt;&lt;title&gt;Culture and the anxiety disorders: recommendations for DSM-V&lt;/title&gt;&lt;secondary-title&gt;Depression and anxiety&lt;/secondary-title&gt;&lt;/titles&gt;&lt;periodical&gt;&lt;full-title&gt;Depression and anxiety&lt;/full-title&gt;&lt;/periodical&gt;&lt;pages&gt;9&lt;/pages&gt;&lt;volume&gt;27&lt;/volume&gt;&lt;number&gt;2&lt;/number&gt;&lt;section&gt;212&lt;/section&gt;&lt;dates&gt;&lt;year&gt;2010&lt;/year&gt;&lt;/dates&gt;&lt;urls&gt;&lt;/urls&gt;&lt;/record&gt;&lt;/Cite&gt;&lt;/EndNote&gt;</w:instrText>
      </w:r>
      <w:r w:rsidR="00A1010E">
        <w:fldChar w:fldCharType="separate"/>
      </w:r>
      <w:r w:rsidR="00315143">
        <w:rPr>
          <w:noProof/>
        </w:rPr>
        <w:t>[7]</w:t>
      </w:r>
      <w:r w:rsidR="00A1010E">
        <w:fldChar w:fldCharType="end"/>
      </w:r>
      <w:r w:rsidR="00C61BF8">
        <w:t xml:space="preserve">; </w:t>
      </w:r>
      <w:r w:rsidR="00A1010E">
        <w:fldChar w:fldCharType="begin"/>
      </w:r>
      <w:r w:rsidR="00315143">
        <w:instrText xml:space="preserve"> ADDIN EN.CITE &lt;EndNote&gt;&lt;Cite&gt;&lt;Author&gt;C&lt;/Author&gt;&lt;Year&gt;2010&lt;/Year&gt;&lt;RecNum&gt;8&lt;/RecNum&gt;&lt;DisplayText&gt;[8]&lt;/DisplayText&gt;&lt;record&gt;&lt;rec-number&gt;8&lt;/rec-number&gt;&lt;foreign-keys&gt;&lt;key app="EN" db-id="zd922rvvwxa999e0xv0xf2002p9zw2ztxawe" timestamp="1550244708"&gt;8&lt;/key&gt;&lt;/foreign-keys&gt;&lt;ref-type name="Journal Article"&gt;17&lt;/ref-type&gt;&lt;contributors&gt;&lt;authors&gt;&lt;author&gt;Huffman Jeff C&lt;/author&gt;&lt;author&gt;Celano Christopher M&lt;/author&gt;&lt;author&gt;Januzzi James L&lt;/author&gt;&lt;/authors&gt;&lt;/contributors&gt;&lt;titles&gt;&lt;title&gt;The relationship between depression, anxiety, and cardiovascular outcomes in patients with acute coronary syndromes&lt;/title&gt;&lt;secondary-title&gt;Neuropsychiatric disease and treatment&lt;/secondary-title&gt;&lt;/titles&gt;&lt;periodical&gt;&lt;full-title&gt;Neuropsychiatric disease and treatment&lt;/full-title&gt;&lt;/periodical&gt;&lt;pages&gt;14&lt;/pages&gt;&lt;volume&gt;6&lt;/volume&gt;&lt;section&gt;123&lt;/section&gt;&lt;dates&gt;&lt;year&gt;2010&lt;/year&gt;&lt;/dates&gt;&lt;urls&gt;&lt;/urls&gt;&lt;/record&gt;&lt;/Cite&gt;&lt;/EndNote&gt;</w:instrText>
      </w:r>
      <w:r w:rsidR="00A1010E">
        <w:fldChar w:fldCharType="separate"/>
      </w:r>
      <w:r w:rsidR="00315143">
        <w:rPr>
          <w:noProof/>
        </w:rPr>
        <w:t>[8]</w:t>
      </w:r>
      <w:r w:rsidR="00A1010E">
        <w:fldChar w:fldCharType="end"/>
      </w:r>
      <w:r w:rsidR="00C61BF8">
        <w:t>.</w:t>
      </w:r>
      <w:r w:rsidRPr="008F376F">
        <w:t xml:space="preserve"> </w:t>
      </w:r>
    </w:p>
    <w:p w:rsidR="00C67C68" w:rsidRDefault="00C67C68" w:rsidP="00187F99">
      <w:pPr>
        <w:pStyle w:val="Default"/>
        <w:spacing w:line="480" w:lineRule="auto"/>
        <w:ind w:firstLine="720"/>
        <w:jc w:val="both"/>
      </w:pPr>
      <w:r w:rsidRPr="008F376F">
        <w:t xml:space="preserve">Cardiovascular patients undergoing the invasive modality of angioplasty are prone to experience anxiety, which could affect both their psychological state and </w:t>
      </w:r>
      <w:r>
        <w:t xml:space="preserve">their </w:t>
      </w:r>
      <w:r w:rsidRPr="008F376F">
        <w:t xml:space="preserve">underlying cardiovascular disease. We </w:t>
      </w:r>
      <w:r>
        <w:t>hypothesized</w:t>
      </w:r>
      <w:r w:rsidRPr="008F376F">
        <w:t xml:space="preserve"> that a comprehensive explanation of the angioplasty procedure to patients—including showing an angioplasty procedure video—might alleviate their level of anxiety and reduce their signs and complications, leading to not only a decrease in unnecessary visits and medical expenses but also an improvement in satisfaction and quality of life. We, therefore, endeavored to assess whether showing patients the angioplasty procedure movie (angiogram) of their elective PCI could </w:t>
      </w:r>
      <w:r>
        <w:t xml:space="preserve">positively </w:t>
      </w:r>
      <w:r w:rsidRPr="008F376F">
        <w:t xml:space="preserve">affect their anxiety level and illness perception. </w:t>
      </w:r>
    </w:p>
    <w:p w:rsidR="00C67C68" w:rsidRDefault="00C67C68" w:rsidP="00187F99">
      <w:pPr>
        <w:pStyle w:val="Default"/>
        <w:spacing w:line="480" w:lineRule="auto"/>
        <w:ind w:firstLine="720"/>
        <w:jc w:val="both"/>
      </w:pPr>
    </w:p>
    <w:p w:rsidR="00C63C41" w:rsidRDefault="00C67C68" w:rsidP="00CC3950">
      <w:pPr>
        <w:pStyle w:val="Default"/>
        <w:pageBreakBefore/>
        <w:spacing w:line="480" w:lineRule="auto"/>
        <w:jc w:val="both"/>
      </w:pPr>
      <w:r w:rsidRPr="000C73EF">
        <w:rPr>
          <w:b/>
          <w:bCs/>
        </w:rPr>
        <w:lastRenderedPageBreak/>
        <w:t>Methods:</w:t>
      </w:r>
      <w:r w:rsidRPr="000C73EF">
        <w:t xml:space="preserve"> </w:t>
      </w:r>
      <w:r w:rsidRPr="008F376F">
        <w:t xml:space="preserve">The present randomized clinical trial recruited patients aged between 40 and 65 years </w:t>
      </w:r>
      <w:proofErr w:type="spellStart"/>
      <w:r w:rsidRPr="008F376F">
        <w:t>candidated</w:t>
      </w:r>
      <w:proofErr w:type="spellEnd"/>
      <w:r w:rsidRPr="008F376F">
        <w:t xml:space="preserve"> for elective PCI </w:t>
      </w:r>
      <w:r>
        <w:t>following coronary angiography</w:t>
      </w:r>
      <w:r w:rsidRPr="008F376F">
        <w:t xml:space="preserve">. Those who met the inclusion criteria were randomly assigned to the intervention group (n = 30) and the control group (n = 30). The sampling method was simple selection. The 2 groups were matched for age, gender, and level of education. Patients were excluded if they had psychological disorders necessitating pharmacological treatments, history of hospitalization, hypo- or hyperthyroidism, </w:t>
      </w:r>
      <w:proofErr w:type="spellStart"/>
      <w:r w:rsidRPr="008F376F">
        <w:t>postprocedural</w:t>
      </w:r>
      <w:proofErr w:type="spellEnd"/>
      <w:r w:rsidRPr="008F376F">
        <w:t xml:space="preserve"> complications, age below 40 years or above 65 years, illiteracy, history of coronary angiography, heart failure, ejection fraction below 30%, and candidacy for medical therapy. The research protocol was approved by the Institutional Review Board and the Ethics Committee of </w:t>
      </w:r>
      <w:r w:rsidR="00CC3950">
        <w:t>the h</w:t>
      </w:r>
      <w:r w:rsidRPr="008F376F">
        <w:t xml:space="preserve">ospital. </w:t>
      </w:r>
      <w:r w:rsidR="00E56520" w:rsidRPr="008F376F">
        <w:t>Informed consent was obtained fr</w:t>
      </w:r>
      <w:r w:rsidR="00E56520">
        <w:t xml:space="preserve">om the entire study population and </w:t>
      </w:r>
      <w:r w:rsidR="00E56520">
        <w:t>t</w:t>
      </w:r>
      <w:r w:rsidR="0059718D" w:rsidRPr="00B01086">
        <w:rPr>
          <w:bdr w:val="none" w:sz="0" w:space="0" w:color="auto" w:frame="1"/>
        </w:rPr>
        <w:t>he study protocol conforms to the ethical guidelines of the 1975 Declaration of Helsinki</w:t>
      </w:r>
      <w:r w:rsidR="0059718D">
        <w:rPr>
          <w:bdr w:val="none" w:sz="0" w:space="0" w:color="auto" w:frame="1"/>
        </w:rPr>
        <w:t>.</w:t>
      </w:r>
      <w:r w:rsidR="0059718D" w:rsidRPr="008F376F">
        <w:t xml:space="preserve"> </w:t>
      </w:r>
      <w:r w:rsidRPr="008F376F">
        <w:t>The trial was registered in the Iranian Registry of Clinical Trials (http://irct.ir) with an IRCT registration</w:t>
      </w:r>
      <w:r>
        <w:t xml:space="preserve"> number of IRCT2017021932666N1.</w:t>
      </w:r>
    </w:p>
    <w:p w:rsidR="00C67C68" w:rsidRDefault="00E56520" w:rsidP="0059718D">
      <w:pPr>
        <w:pStyle w:val="Default"/>
        <w:pageBreakBefore/>
        <w:spacing w:line="480" w:lineRule="auto"/>
        <w:jc w:val="both"/>
      </w:pPr>
      <w:r>
        <w:lastRenderedPageBreak/>
        <w:t>A</w:t>
      </w:r>
      <w:r w:rsidR="00C67C68" w:rsidRPr="008F376F">
        <w:t xml:space="preserve"> checklist</w:t>
      </w:r>
      <w:r w:rsidR="00C67C68" w:rsidRPr="008F376F" w:rsidDel="00BE3176">
        <w:t xml:space="preserve"> </w:t>
      </w:r>
      <w:r w:rsidR="00C67C68" w:rsidRPr="008F376F">
        <w:t xml:space="preserve">comprising demographic data, place of residence, level of education, comorbidities, family history, and initial complaint was filled at admission. </w:t>
      </w:r>
      <w:proofErr w:type="spellStart"/>
      <w:r w:rsidR="00C67C68">
        <w:t>Preprocedurally</w:t>
      </w:r>
      <w:proofErr w:type="spellEnd"/>
      <w:r w:rsidR="00C67C68">
        <w:t>, t</w:t>
      </w:r>
      <w:r w:rsidR="00C67C68" w:rsidRPr="008F376F">
        <w:t>he procedure, nature of the disease, and the involved vessels were explained to the patients in the case group</w:t>
      </w:r>
      <w:r w:rsidR="00C67C68">
        <w:t>,</w:t>
      </w:r>
      <w:r w:rsidR="00C67C68" w:rsidRPr="00DA4287">
        <w:t xml:space="preserve"> </w:t>
      </w:r>
      <w:r w:rsidR="00C67C68">
        <w:t>w</w:t>
      </w:r>
      <w:r w:rsidR="00C67C68" w:rsidRPr="008F376F">
        <w:t>hile the control group</w:t>
      </w:r>
      <w:r w:rsidR="00C67C68">
        <w:t xml:space="preserve"> received information only about</w:t>
      </w:r>
      <w:r w:rsidR="00C67C68" w:rsidRPr="008F376F">
        <w:t xml:space="preserve"> the number of involved vessels and angioplasty success rate</w:t>
      </w:r>
      <w:r w:rsidR="00C67C68">
        <w:t xml:space="preserve">s. </w:t>
      </w:r>
      <w:proofErr w:type="spellStart"/>
      <w:r w:rsidR="00C67C68">
        <w:t>Postprocedurally</w:t>
      </w:r>
      <w:proofErr w:type="spellEnd"/>
      <w:r w:rsidR="00C67C68">
        <w:t>, only the patients in the case group were shown the video of their own</w:t>
      </w:r>
      <w:r w:rsidR="00C67C68" w:rsidRPr="008F376F">
        <w:t xml:space="preserve"> angioplasty (angiogram). All of the abovementioned </w:t>
      </w:r>
      <w:r w:rsidR="00C67C68">
        <w:t>tasks</w:t>
      </w:r>
      <w:r w:rsidR="00C67C68" w:rsidRPr="008F376F">
        <w:t xml:space="preserve"> were performed by a cardiology resident. </w:t>
      </w:r>
    </w:p>
    <w:p w:rsidR="00C67C68" w:rsidRDefault="00C67C68" w:rsidP="00187F99">
      <w:pPr>
        <w:pStyle w:val="Default"/>
        <w:spacing w:line="480" w:lineRule="auto"/>
        <w:ind w:firstLine="720"/>
        <w:jc w:val="both"/>
      </w:pPr>
      <w:r w:rsidRPr="008F376F">
        <w:t>The patients in both groups completed the Beck anxiety inventory (21 questions) and</w:t>
      </w:r>
      <w:r>
        <w:t xml:space="preserve"> the</w:t>
      </w:r>
      <w:r w:rsidRPr="008F376F">
        <w:t xml:space="preserve"> Brief Illness Perception Questionnaire</w:t>
      </w:r>
      <w:r>
        <w:t xml:space="preserve"> (BIPQ)</w:t>
      </w:r>
      <w:r w:rsidRPr="008F376F">
        <w:t xml:space="preserve"> (8 questions)</w:t>
      </w:r>
      <w:r>
        <w:t xml:space="preserve">. </w:t>
      </w:r>
      <w:r w:rsidRPr="00641C95">
        <w:t xml:space="preserve">At 1 month’s follow-up, </w:t>
      </w:r>
      <w:r>
        <w:t>another</w:t>
      </w:r>
      <w:r w:rsidRPr="00641C95">
        <w:t xml:space="preserve"> checklist was completed for all the patients</w:t>
      </w:r>
      <w:r>
        <w:t xml:space="preserve"> once</w:t>
      </w:r>
      <w:r w:rsidRPr="00641C95">
        <w:t xml:space="preserve"> again if they </w:t>
      </w:r>
      <w:r>
        <w:t>met</w:t>
      </w:r>
      <w:r w:rsidRPr="00641C95">
        <w:t xml:space="preserve"> </w:t>
      </w:r>
      <w:r>
        <w:t>none of the</w:t>
      </w:r>
      <w:r w:rsidRPr="00641C95">
        <w:t xml:space="preserve"> exclusion criteria</w:t>
      </w:r>
      <w:r>
        <w:t xml:space="preserve"> such as having </w:t>
      </w:r>
      <w:r w:rsidRPr="00005EBD">
        <w:t>infection, hematoma</w:t>
      </w:r>
      <w:r>
        <w:t>,</w:t>
      </w:r>
      <w:r w:rsidRPr="00005EBD">
        <w:t xml:space="preserve"> and </w:t>
      </w:r>
      <w:proofErr w:type="spellStart"/>
      <w:r w:rsidRPr="00005EBD">
        <w:t>pseudoaneurysm</w:t>
      </w:r>
      <w:proofErr w:type="spellEnd"/>
      <w:r w:rsidRPr="00005EBD">
        <w:t xml:space="preserve"> of the puncture site</w:t>
      </w:r>
      <w:r>
        <w:t xml:space="preserve">. The checklist contained information on </w:t>
      </w:r>
      <w:r w:rsidRPr="00641C95">
        <w:t xml:space="preserve">the number of chest pain and palpitation episodes within the </w:t>
      </w:r>
      <w:r>
        <w:t>preceding</w:t>
      </w:r>
      <w:r w:rsidRPr="00641C95">
        <w:t xml:space="preserve"> month, Beck anxiety inventory, and the BIPQ.</w:t>
      </w:r>
      <w:r>
        <w:t xml:space="preserve"> Thereafter,</w:t>
      </w:r>
      <w:r w:rsidRPr="008716E6" w:rsidDel="00592F9B">
        <w:t xml:space="preserve"> </w:t>
      </w:r>
      <w:r>
        <w:t xml:space="preserve">illness perception and anxiety levels at 1 month’s follow-up were compared between the case and control groups. </w:t>
      </w:r>
    </w:p>
    <w:p w:rsidR="00C67C68" w:rsidRPr="008F376F" w:rsidRDefault="00C67C68" w:rsidP="00187F99">
      <w:pPr>
        <w:pStyle w:val="Default"/>
        <w:spacing w:line="480" w:lineRule="auto"/>
        <w:ind w:firstLine="720"/>
        <w:jc w:val="both"/>
      </w:pPr>
      <w:r w:rsidRPr="008F376F">
        <w:t>All</w:t>
      </w:r>
      <w:r>
        <w:t xml:space="preserve"> the</w:t>
      </w:r>
      <w:r w:rsidRPr="008F376F">
        <w:t xml:space="preserve"> analyses were performed using the IBM SPSS statistics for Windows, version 19.0 (Armonk, NY: IBM Corp)</w:t>
      </w:r>
      <w:r>
        <w:t>.</w:t>
      </w:r>
      <w:r w:rsidRPr="008F376F">
        <w:t xml:space="preserve"> The data were compared between the 2 groups using the χ</w:t>
      </w:r>
      <w:r w:rsidRPr="008F376F">
        <w:rPr>
          <w:vertAlign w:val="superscript"/>
        </w:rPr>
        <w:t xml:space="preserve">2 </w:t>
      </w:r>
      <w:r w:rsidRPr="008F376F">
        <w:t>test</w:t>
      </w:r>
      <w:r w:rsidRPr="008F376F">
        <w:rPr>
          <w:vertAlign w:val="superscript"/>
        </w:rPr>
        <w:t xml:space="preserve"> </w:t>
      </w:r>
      <w:r w:rsidRPr="008F376F">
        <w:t xml:space="preserve">and the </w:t>
      </w:r>
      <w:proofErr w:type="spellStart"/>
      <w:r w:rsidRPr="008F376F">
        <w:t>McNemar</w:t>
      </w:r>
      <w:proofErr w:type="spellEnd"/>
      <w:r w:rsidRPr="008F376F">
        <w:t xml:space="preserve"> test. A </w:t>
      </w:r>
      <w:r w:rsidRPr="008F376F">
        <w:rPr>
          <w:i/>
          <w:iCs/>
        </w:rPr>
        <w:t xml:space="preserve">P </w:t>
      </w:r>
      <w:r w:rsidRPr="008F376F">
        <w:t xml:space="preserve">value less than 0.05 was considered statistically significant. </w:t>
      </w:r>
    </w:p>
    <w:p w:rsidR="00C67C68" w:rsidRPr="008F376F" w:rsidRDefault="00C67C68" w:rsidP="00187F99">
      <w:pPr>
        <w:pStyle w:val="Default"/>
        <w:spacing w:line="480" w:lineRule="auto"/>
        <w:ind w:firstLine="720"/>
        <w:jc w:val="both"/>
      </w:pPr>
    </w:p>
    <w:p w:rsidR="00C67C68" w:rsidRPr="008F376F" w:rsidRDefault="00C67C68" w:rsidP="00C67C68">
      <w:pPr>
        <w:pStyle w:val="Default"/>
        <w:pageBreakBefore/>
        <w:ind w:firstLine="720"/>
        <w:jc w:val="both"/>
      </w:pPr>
      <w:r>
        <w:lastRenderedPageBreak/>
        <w:t xml:space="preserve"> </w:t>
      </w:r>
      <w:r w:rsidRPr="008F376F">
        <w:t xml:space="preserve"> </w:t>
      </w:r>
    </w:p>
    <w:p w:rsidR="00C67C68" w:rsidRPr="008F376F" w:rsidRDefault="00C67C68" w:rsidP="00C67C68">
      <w:pPr>
        <w:pStyle w:val="Default"/>
        <w:jc w:val="both"/>
        <w:rPr>
          <w:b/>
          <w:bCs/>
        </w:rPr>
      </w:pPr>
    </w:p>
    <w:p w:rsidR="00C67C68" w:rsidRPr="008F376F" w:rsidRDefault="00C67C68" w:rsidP="00C67C68">
      <w:pPr>
        <w:pStyle w:val="Default"/>
        <w:ind w:firstLine="720"/>
        <w:jc w:val="both"/>
      </w:pPr>
    </w:p>
    <w:p w:rsidR="00C67C68" w:rsidRPr="008F376F" w:rsidRDefault="00C67C68" w:rsidP="00C67C68">
      <w:pPr>
        <w:pStyle w:val="Default"/>
        <w:ind w:firstLine="720"/>
        <w:jc w:val="both"/>
      </w:pPr>
    </w:p>
    <w:p w:rsidR="00C67C68" w:rsidRPr="008F376F" w:rsidRDefault="00C67C68" w:rsidP="00C67C68">
      <w:pPr>
        <w:pStyle w:val="Default"/>
        <w:jc w:val="both"/>
      </w:pPr>
      <w:r w:rsidRPr="008F376F">
        <w:rPr>
          <w:b/>
          <w:bCs/>
        </w:rPr>
        <w:t xml:space="preserve">Questionnaires </w:t>
      </w:r>
    </w:p>
    <w:p w:rsidR="00C67C68" w:rsidRPr="008F376F" w:rsidRDefault="00C67C68" w:rsidP="00C67C68">
      <w:pPr>
        <w:pStyle w:val="Default"/>
        <w:jc w:val="both"/>
      </w:pPr>
    </w:p>
    <w:p w:rsidR="00C67C68" w:rsidRPr="008F376F" w:rsidRDefault="00C67C68" w:rsidP="00315143">
      <w:pPr>
        <w:pStyle w:val="Default"/>
        <w:spacing w:line="480" w:lineRule="auto"/>
        <w:ind w:firstLine="720"/>
        <w:jc w:val="both"/>
      </w:pPr>
      <w:r w:rsidRPr="008F376F">
        <w:t xml:space="preserve">The Beck </w:t>
      </w:r>
      <w:r>
        <w:t>a</w:t>
      </w:r>
      <w:r w:rsidRPr="008F376F">
        <w:t xml:space="preserve">nxiety inventory </w:t>
      </w:r>
      <w:r>
        <w:t>was</w:t>
      </w:r>
      <w:r w:rsidRPr="008F376F">
        <w:t xml:space="preserve"> evaluated in </w:t>
      </w:r>
      <w:r>
        <w:t xml:space="preserve">the </w:t>
      </w:r>
      <w:r w:rsidRPr="008F376F">
        <w:t>Iranian population by</w:t>
      </w:r>
      <w:r w:rsidR="00DD213F">
        <w:t xml:space="preserve"> </w:t>
      </w:r>
      <w:r w:rsidR="00A1010E">
        <w:fldChar w:fldCharType="begin"/>
      </w:r>
      <w:r w:rsidR="00315143">
        <w:instrText xml:space="preserve"> ADDIN EN.CITE &lt;EndNote&gt;&lt;Cite&gt;&lt;Author&gt;Hossein&lt;/Author&gt;&lt;Year&gt;2008&lt;/Year&gt;&lt;RecNum&gt;9&lt;/RecNum&gt;&lt;DisplayText&gt;[9]&lt;/DisplayText&gt;&lt;record&gt;&lt;rec-number&gt;9&lt;/rec-number&gt;&lt;foreign-keys&gt;&lt;key app="EN" db-id="zd922rvvwxa999e0xv0xf2002p9zw2ztxawe" timestamp="1550244708"&gt;9&lt;/key&gt;&lt;/foreign-keys&gt;&lt;ref-type name="Journal Article"&gt;17&lt;/ref-type&gt;&lt;contributors&gt;&lt;authors&gt;&lt;author&gt;Kaviani Hossein&lt;/author&gt;&lt;author&gt;Mousavi Ashraf Sadat&lt;/author&gt;&lt;/authors&gt;&lt;/contributors&gt;&lt;titles&gt;&lt;title&gt;Psychometric properties of the Persian version of Beck Anxiety Inventory (BAI)&lt;/title&gt;&lt;secondary-title&gt;Tehran University Medical Journal&lt;/secondary-title&gt;&lt;/titles&gt;&lt;periodical&gt;&lt;full-title&gt;Tehran University Medical Journal&lt;/full-title&gt;&lt;/periodical&gt;&lt;pages&gt;5&lt;/pages&gt;&lt;volume&gt;66&lt;/volume&gt;&lt;number&gt;2&lt;/number&gt;&lt;section&gt;136&lt;/section&gt;&lt;dates&gt;&lt;year&gt;2008&lt;/year&gt;&lt;/dates&gt;&lt;orig-pub&gt;TUMS Publications&lt;/orig-pub&gt;&lt;urls&gt;&lt;/urls&gt;&lt;/record&gt;&lt;/Cite&gt;&lt;/EndNote&gt;</w:instrText>
      </w:r>
      <w:r w:rsidR="00A1010E">
        <w:fldChar w:fldCharType="separate"/>
      </w:r>
      <w:r w:rsidR="00315143">
        <w:rPr>
          <w:noProof/>
        </w:rPr>
        <w:t>[9]</w:t>
      </w:r>
      <w:r w:rsidR="00A1010E">
        <w:fldChar w:fldCharType="end"/>
      </w:r>
      <w:r w:rsidRPr="008F376F">
        <w:t xml:space="preserve"> </w:t>
      </w:r>
      <w:r>
        <w:t>who reported</w:t>
      </w:r>
      <w:r w:rsidRPr="008F376F">
        <w:t xml:space="preserve"> a good reliability (</w:t>
      </w:r>
      <w:r w:rsidRPr="00E72A00">
        <w:rPr>
          <w:i/>
          <w:iCs/>
        </w:rPr>
        <w:t>r</w:t>
      </w:r>
      <w:r w:rsidRPr="008F376F">
        <w:t xml:space="preserve"> = 0.72, </w:t>
      </w:r>
      <w:r w:rsidRPr="00E72A00">
        <w:rPr>
          <w:i/>
          <w:iCs/>
        </w:rPr>
        <w:t>P</w:t>
      </w:r>
      <w:r w:rsidRPr="008F376F">
        <w:t xml:space="preserve"> &lt; 0.001), a very good validity (</w:t>
      </w:r>
      <w:r w:rsidRPr="008F376F">
        <w:rPr>
          <w:i/>
          <w:iCs/>
        </w:rPr>
        <w:t>r</w:t>
      </w:r>
      <w:r w:rsidRPr="008F376F">
        <w:t xml:space="preserve"> = 0.83, </w:t>
      </w:r>
      <w:r w:rsidRPr="008F376F">
        <w:rPr>
          <w:i/>
          <w:iCs/>
        </w:rPr>
        <w:t>P</w:t>
      </w:r>
      <w:r w:rsidRPr="008F376F" w:rsidDel="00436845">
        <w:t xml:space="preserve"> </w:t>
      </w:r>
      <w:r w:rsidRPr="008F376F">
        <w:t>&lt; 0.001)</w:t>
      </w:r>
      <w:r>
        <w:t>,</w:t>
      </w:r>
      <w:r w:rsidRPr="008F376F">
        <w:t xml:space="preserve"> and an excellent internal consistency (α = 0.92). This questionnaire consists of 21 questions (</w:t>
      </w:r>
      <w:r>
        <w:t>4</w:t>
      </w:r>
      <w:r w:rsidRPr="008F376F">
        <w:t xml:space="preserve"> selection switches for each question)</w:t>
      </w:r>
      <w:r>
        <w:t>; consequently,</w:t>
      </w:r>
      <w:r w:rsidRPr="008F376F">
        <w:t xml:space="preserve"> the </w:t>
      </w:r>
      <w:r>
        <w:t>score range</w:t>
      </w:r>
      <w:r w:rsidRPr="008F376F">
        <w:t xml:space="preserve"> is between 0 and 63. Scores from 8 to 15 represent low anxiety</w:t>
      </w:r>
      <w:r>
        <w:t xml:space="preserve"> levels</w:t>
      </w:r>
      <w:r w:rsidRPr="008F376F">
        <w:t>, from 16 to 26 intermediate anxiety</w:t>
      </w:r>
      <w:r>
        <w:t xml:space="preserve"> levels</w:t>
      </w:r>
      <w:r w:rsidRPr="008F376F">
        <w:t>, and from 26 to 63 high anxiety</w:t>
      </w:r>
      <w:r>
        <w:t xml:space="preserve"> levels</w:t>
      </w:r>
      <w:r w:rsidRPr="008F376F">
        <w:t xml:space="preserve">. </w:t>
      </w:r>
      <w:r>
        <w:t>The r</w:t>
      </w:r>
      <w:r w:rsidRPr="008F376F">
        <w:t xml:space="preserve">eliability and validity of </w:t>
      </w:r>
      <w:r>
        <w:t>the</w:t>
      </w:r>
      <w:r w:rsidRPr="008F376F">
        <w:t xml:space="preserve"> Farsi version of the </w:t>
      </w:r>
      <w:r>
        <w:t>BIPQ</w:t>
      </w:r>
      <w:r w:rsidRPr="008F376F">
        <w:t xml:space="preserve"> </w:t>
      </w:r>
      <w:r>
        <w:t>were</w:t>
      </w:r>
      <w:r w:rsidRPr="008F376F">
        <w:t xml:space="preserve"> evaluated by</w:t>
      </w:r>
      <w:r w:rsidR="00DD213F">
        <w:t xml:space="preserve"> </w:t>
      </w:r>
      <w:r w:rsidR="00A1010E">
        <w:fldChar w:fldCharType="begin"/>
      </w:r>
      <w:r w:rsidR="00315143">
        <w:instrText xml:space="preserve"> ADDIN EN.CITE &lt;EndNote&gt;&lt;Cite&gt;&lt;Author&gt;Saeideh&lt;/Author&gt;&lt;Year&gt;2010&lt;/Year&gt;&lt;RecNum&gt;10&lt;/RecNum&gt;&lt;DisplayText&gt;[10]&lt;/DisplayText&gt;&lt;record&gt;&lt;rec-number&gt;10&lt;/rec-number&gt;&lt;foreign-keys&gt;&lt;key app="EN" db-id="zd922rvvwxa999e0xv0xf2002p9zw2ztxawe" timestamp="1550244708"&gt;10&lt;/key&gt;&lt;/foreign-keys&gt;&lt;ref-type name="Journal Article"&gt;17&lt;/ref-type&gt;&lt;contributors&gt;&lt;authors&gt;&lt;author&gt;Bazzazian Saeideh&lt;/author&gt;&lt;author&gt;Besharat Mohammad Ali&lt;/author&gt;&lt;/authors&gt;&lt;/contributors&gt;&lt;titles&gt;&lt;title&gt;Reliability and validity of a Farsi version of the brief illness perception questionnaire&lt;/title&gt;&lt;secondary-title&gt;Procedia-Social and Behavioral Sciences&lt;/secondary-title&gt;&lt;/titles&gt;&lt;periodical&gt;&lt;full-title&gt;Procedia-Social and Behavioral Sciences&lt;/full-title&gt;&lt;/periodical&gt;&lt;pages&gt;4&lt;/pages&gt;&lt;volume&gt;5&lt;/volume&gt;&lt;section&gt;962&lt;/section&gt;&lt;dates&gt;&lt;year&gt;2010&lt;/year&gt;&lt;/dates&gt;&lt;urls&gt;&lt;/urls&gt;&lt;/record&gt;&lt;/Cite&gt;&lt;/EndNote&gt;</w:instrText>
      </w:r>
      <w:r w:rsidR="00A1010E">
        <w:fldChar w:fldCharType="separate"/>
      </w:r>
      <w:r w:rsidR="00315143">
        <w:rPr>
          <w:noProof/>
        </w:rPr>
        <w:t>[10]</w:t>
      </w:r>
      <w:r w:rsidR="00A1010E">
        <w:fldChar w:fldCharType="end"/>
      </w:r>
      <w:r w:rsidR="00A72843">
        <w:t>.</w:t>
      </w:r>
      <w:r w:rsidRPr="008F376F">
        <w:t xml:space="preserve"> </w:t>
      </w:r>
      <w:r>
        <w:t>The BIPQ</w:t>
      </w:r>
      <w:r w:rsidRPr="008F376F">
        <w:t xml:space="preserve"> has 8 items</w:t>
      </w:r>
      <w:r>
        <w:t>, with</w:t>
      </w:r>
      <w:r w:rsidRPr="008F376F">
        <w:t xml:space="preserve"> </w:t>
      </w:r>
      <w:r>
        <w:t>a</w:t>
      </w:r>
      <w:r w:rsidRPr="008F376F">
        <w:t>ll the items</w:t>
      </w:r>
      <w:r>
        <w:t xml:space="preserve">—except </w:t>
      </w:r>
      <w:r w:rsidRPr="008F376F">
        <w:t>the causal question</w:t>
      </w:r>
      <w:r>
        <w:t>—</w:t>
      </w:r>
      <w:r w:rsidRPr="008F376F">
        <w:t>rated using a</w:t>
      </w:r>
      <w:r>
        <w:t xml:space="preserve"> scale of</w:t>
      </w:r>
      <w:r w:rsidRPr="008F376F">
        <w:t xml:space="preserve"> 0</w:t>
      </w:r>
      <w:r>
        <w:t xml:space="preserve"> to </w:t>
      </w:r>
      <w:r w:rsidRPr="008F376F">
        <w:t>10. Five of the items assess cognitive illness representations: consequence (Item 1), timeline (</w:t>
      </w:r>
      <w:r>
        <w:t>I</w:t>
      </w:r>
      <w:r w:rsidRPr="008F376F">
        <w:t xml:space="preserve">tem 2), personal control (Item 3), treatment control (Item 4), and identity (Item 5). Two of the items assess emotional representations: concern (Item 6) and emotions (Item 8). One item investigates illness comprehensibility (Item 7). The scores of questions 3, 4, and 7 </w:t>
      </w:r>
      <w:r>
        <w:t>were</w:t>
      </w:r>
      <w:r w:rsidRPr="008F376F">
        <w:t xml:space="preserve"> reversed and added to the scores of the other questions. Higher scores </w:t>
      </w:r>
      <w:r>
        <w:t>denote</w:t>
      </w:r>
      <w:r w:rsidRPr="008F376F">
        <w:t xml:space="preserve"> worse disease perception</w:t>
      </w:r>
      <w:r>
        <w:t>s</w:t>
      </w:r>
      <w:r w:rsidRPr="008F376F">
        <w:t xml:space="preserve">. </w:t>
      </w:r>
    </w:p>
    <w:p w:rsidR="00C67C68" w:rsidRPr="008F376F" w:rsidRDefault="00C67C68" w:rsidP="00C67C68">
      <w:pPr>
        <w:pStyle w:val="Default"/>
        <w:pageBreakBefore/>
        <w:jc w:val="both"/>
      </w:pPr>
      <w:r w:rsidRPr="008F376F">
        <w:rPr>
          <w:b/>
          <w:bCs/>
        </w:rPr>
        <w:lastRenderedPageBreak/>
        <w:t>RESULTS</w:t>
      </w:r>
    </w:p>
    <w:p w:rsidR="00C67C68" w:rsidRDefault="00C67C68" w:rsidP="00C67C68">
      <w:pPr>
        <w:pStyle w:val="Default"/>
        <w:jc w:val="both"/>
      </w:pPr>
      <w:r w:rsidRPr="008F376F">
        <w:tab/>
      </w:r>
    </w:p>
    <w:p w:rsidR="00C67C68" w:rsidRDefault="00C67C68" w:rsidP="004C40D4">
      <w:pPr>
        <w:pStyle w:val="Default"/>
        <w:spacing w:line="480" w:lineRule="auto"/>
        <w:ind w:firstLine="720"/>
        <w:jc w:val="both"/>
      </w:pPr>
      <w:r>
        <w:t>The</w:t>
      </w:r>
      <w:r w:rsidRPr="008F376F">
        <w:t xml:space="preserve"> present study</w:t>
      </w:r>
      <w:r>
        <w:t xml:space="preserve"> evaluated</w:t>
      </w:r>
      <w:r w:rsidRPr="008F376F">
        <w:t xml:space="preserve"> 60 patients</w:t>
      </w:r>
      <w:r>
        <w:t xml:space="preserve"> </w:t>
      </w:r>
      <w:proofErr w:type="spellStart"/>
      <w:r>
        <w:t>candidated</w:t>
      </w:r>
      <w:proofErr w:type="spellEnd"/>
      <w:r>
        <w:t xml:space="preserve"> for elective PCI following</w:t>
      </w:r>
      <w:r w:rsidRPr="008F376F">
        <w:t xml:space="preserve"> coronary angiography. </w:t>
      </w:r>
      <w:r>
        <w:t>The study population was</w:t>
      </w:r>
      <w:r w:rsidRPr="008F376F">
        <w:t xml:space="preserve"> randomly divided into 2 groups (30 patients in each group). </w:t>
      </w:r>
      <w:r>
        <w:t>The d</w:t>
      </w:r>
      <w:r w:rsidRPr="008F376F">
        <w:t xml:space="preserve">emographic data of the patients are </w:t>
      </w:r>
      <w:r>
        <w:t xml:space="preserve">depicted </w:t>
      </w:r>
      <w:r w:rsidRPr="008F376F">
        <w:t xml:space="preserve">in Table 1. </w:t>
      </w:r>
      <w:r>
        <w:t>Males accounted for</w:t>
      </w:r>
      <w:r w:rsidRPr="008F376F">
        <w:t xml:space="preserve"> 66.7% of the patients in the case group and 60% of </w:t>
      </w:r>
      <w:r>
        <w:t>those</w:t>
      </w:r>
      <w:r w:rsidRPr="008F376F">
        <w:t xml:space="preserve"> in the control group </w:t>
      </w:r>
      <w:r w:rsidRPr="00E72A00">
        <w:t>(</w:t>
      </w:r>
      <w:r w:rsidRPr="008F376F">
        <w:rPr>
          <w:i/>
          <w:iCs/>
        </w:rPr>
        <w:t>P</w:t>
      </w:r>
      <w:r w:rsidRPr="00641C95" w:rsidDel="00436845">
        <w:t xml:space="preserve"> </w:t>
      </w:r>
      <w:r w:rsidRPr="00E72A00">
        <w:t>=</w:t>
      </w:r>
      <w:r w:rsidRPr="008F376F">
        <w:t xml:space="preserve"> 0.78). </w:t>
      </w:r>
      <w:r>
        <w:t>The m</w:t>
      </w:r>
      <w:r w:rsidRPr="008F376F">
        <w:t>ean ± standard deviation (SD) age of the patients was 56.13 ± 10.12 and 58.5 ± 7.44 years in the case and control groups, respectively (</w:t>
      </w:r>
      <w:r w:rsidRPr="008F376F">
        <w:rPr>
          <w:i/>
          <w:iCs/>
        </w:rPr>
        <w:t>P</w:t>
      </w:r>
      <w:r w:rsidRPr="008F376F" w:rsidDel="00436845">
        <w:t xml:space="preserve"> </w:t>
      </w:r>
      <w:r w:rsidRPr="008F376F">
        <w:t xml:space="preserve">= 0.307). Considering marital status, 93.3% of </w:t>
      </w:r>
      <w:r>
        <w:t xml:space="preserve">the </w:t>
      </w:r>
      <w:r w:rsidRPr="008F376F">
        <w:t>case group and 96.7% of the control group were married (</w:t>
      </w:r>
      <w:r w:rsidRPr="008F376F">
        <w:rPr>
          <w:i/>
          <w:iCs/>
        </w:rPr>
        <w:t>P</w:t>
      </w:r>
      <w:r w:rsidRPr="008F376F" w:rsidDel="00436845">
        <w:t xml:space="preserve"> </w:t>
      </w:r>
      <w:r w:rsidRPr="008F376F">
        <w:t xml:space="preserve">= 0.55). </w:t>
      </w:r>
      <w:r>
        <w:t>Most</w:t>
      </w:r>
      <w:r w:rsidRPr="008F376F">
        <w:t xml:space="preserve"> of the patients in both groups had</w:t>
      </w:r>
      <w:r>
        <w:t xml:space="preserve"> educational levels below high school diploma;</w:t>
      </w:r>
      <w:r w:rsidRPr="008F376F">
        <w:t xml:space="preserve"> there was no significant difference between the groups with respect to the level of education (</w:t>
      </w:r>
      <w:r w:rsidRPr="008F376F">
        <w:rPr>
          <w:i/>
          <w:iCs/>
        </w:rPr>
        <w:t>P</w:t>
      </w:r>
      <w:r w:rsidRPr="008F376F" w:rsidDel="00436845">
        <w:t xml:space="preserve"> </w:t>
      </w:r>
      <w:r w:rsidRPr="008F376F">
        <w:t xml:space="preserve">= 0.67). The number of chest pain episodes in the </w:t>
      </w:r>
      <w:r>
        <w:t>preceding</w:t>
      </w:r>
      <w:r w:rsidRPr="008F376F">
        <w:t xml:space="preserve"> month was 11.4 ± 7.82 times in the case group and 9.73</w:t>
      </w:r>
      <w:r>
        <w:t xml:space="preserve"> </w:t>
      </w:r>
      <w:r w:rsidRPr="008F376F">
        <w:t>±</w:t>
      </w:r>
      <w:r>
        <w:t xml:space="preserve"> </w:t>
      </w:r>
      <w:r w:rsidRPr="008F376F">
        <w:t>6.7 times in the control group (</w:t>
      </w:r>
      <w:r w:rsidRPr="008F376F">
        <w:rPr>
          <w:i/>
          <w:iCs/>
        </w:rPr>
        <w:t>P</w:t>
      </w:r>
      <w:r w:rsidRPr="008F376F" w:rsidDel="00436845">
        <w:t xml:space="preserve"> </w:t>
      </w:r>
      <w:r w:rsidRPr="008F376F">
        <w:t xml:space="preserve">= 0.379). The 2 study groups were not significantly different </w:t>
      </w:r>
      <w:r>
        <w:t>in terms of</w:t>
      </w:r>
      <w:r w:rsidRPr="008F376F">
        <w:t xml:space="preserve"> the number of palpitation episodes in the </w:t>
      </w:r>
      <w:r>
        <w:t>preceding</w:t>
      </w:r>
      <w:r w:rsidRPr="008F376F">
        <w:t xml:space="preserve"> month (3.36 ± 6.28 in the case group vs 3.33 ± 4.44 in the control group; </w:t>
      </w:r>
      <w:r w:rsidRPr="008F376F">
        <w:rPr>
          <w:i/>
          <w:iCs/>
        </w:rPr>
        <w:t>P</w:t>
      </w:r>
      <w:r w:rsidRPr="008F376F" w:rsidDel="00436845">
        <w:t xml:space="preserve"> </w:t>
      </w:r>
      <w:r w:rsidRPr="008F376F">
        <w:t xml:space="preserve">= 0.408). </w:t>
      </w:r>
    </w:p>
    <w:p w:rsidR="00C67C68" w:rsidRPr="008F376F" w:rsidRDefault="00C67C68" w:rsidP="004C40D4">
      <w:pPr>
        <w:bidi w:val="0"/>
        <w:spacing w:line="480" w:lineRule="auto"/>
        <w:jc w:val="both"/>
      </w:pPr>
      <w:r w:rsidRPr="008F376F">
        <w:t>As is depicted in Table 2, the mean Beck anxiety score was 34.26 ± 8.1</w:t>
      </w:r>
      <w:r>
        <w:t xml:space="preserve"> in the case group</w:t>
      </w:r>
      <w:r w:rsidRPr="008F376F">
        <w:t xml:space="preserve"> and 34.46 ± 9.34 in </w:t>
      </w:r>
      <w:r>
        <w:t xml:space="preserve">the control group </w:t>
      </w:r>
      <w:r w:rsidRPr="008F376F">
        <w:t>before</w:t>
      </w:r>
      <w:r>
        <w:t xml:space="preserve"> the case group patients watched</w:t>
      </w:r>
      <w:r w:rsidRPr="008F376F">
        <w:t xml:space="preserve"> </w:t>
      </w:r>
      <w:r>
        <w:t>their</w:t>
      </w:r>
      <w:r w:rsidRPr="008F376F">
        <w:t xml:space="preserve"> angioplasty procedure </w:t>
      </w:r>
      <w:r>
        <w:t>and</w:t>
      </w:r>
      <w:r w:rsidRPr="008F376F">
        <w:t xml:space="preserve"> 24.4 ± 8.56</w:t>
      </w:r>
      <w:r>
        <w:t xml:space="preserve"> in the case group</w:t>
      </w:r>
      <w:r w:rsidRPr="008F376F">
        <w:t xml:space="preserve"> and 26.6 ± 9.44</w:t>
      </w:r>
      <w:r>
        <w:t xml:space="preserve"> in the control group</w:t>
      </w:r>
      <w:r w:rsidRPr="008F376F">
        <w:t xml:space="preserve"> after </w:t>
      </w:r>
      <w:r>
        <w:t xml:space="preserve">the case group patients watched </w:t>
      </w:r>
      <w:r w:rsidRPr="008F376F">
        <w:t>the video</w:t>
      </w:r>
      <w:r>
        <w:t xml:space="preserve"> of their procedures</w:t>
      </w:r>
      <w:r w:rsidRPr="008F376F">
        <w:t xml:space="preserve">. The difference in the mean Beck anxiety score was statistically </w:t>
      </w:r>
      <w:r>
        <w:t>significant</w:t>
      </w:r>
      <w:r w:rsidRPr="008F376F">
        <w:t xml:space="preserve"> between the </w:t>
      </w:r>
      <w:r>
        <w:t>2</w:t>
      </w:r>
      <w:r w:rsidRPr="008F376F">
        <w:t xml:space="preserve"> groups (</w:t>
      </w:r>
      <w:r w:rsidRPr="00E72A00">
        <w:rPr>
          <w:i/>
          <w:iCs/>
        </w:rPr>
        <w:t>P</w:t>
      </w:r>
      <w:r w:rsidRPr="008F376F">
        <w:t xml:space="preserve"> = 0.033). </w:t>
      </w:r>
      <w:r>
        <w:t xml:space="preserve">The </w:t>
      </w:r>
      <w:r w:rsidRPr="008F376F">
        <w:t xml:space="preserve">BIPQ score was 60.63 ± 8.43 in the case group and 57.83 ± 10.72 in </w:t>
      </w:r>
      <w:r>
        <w:t xml:space="preserve">the </w:t>
      </w:r>
      <w:r w:rsidRPr="008F376F">
        <w:t>control group before</w:t>
      </w:r>
      <w:r>
        <w:t xml:space="preserve"> the case group patients watched their</w:t>
      </w:r>
      <w:r w:rsidRPr="008F376F">
        <w:t xml:space="preserve"> angiogram</w:t>
      </w:r>
      <w:r>
        <w:t>s and</w:t>
      </w:r>
      <w:r w:rsidRPr="008F376F">
        <w:t xml:space="preserve"> 47.16 ± 8.29</w:t>
      </w:r>
      <w:r>
        <w:t xml:space="preserve"> in the case group</w:t>
      </w:r>
      <w:r w:rsidRPr="008F376F">
        <w:t xml:space="preserve"> and 56.33</w:t>
      </w:r>
      <w:r>
        <w:t xml:space="preserve"> </w:t>
      </w:r>
      <w:r w:rsidRPr="008F376F">
        <w:t>±</w:t>
      </w:r>
      <w:r>
        <w:t xml:space="preserve"> </w:t>
      </w:r>
      <w:r w:rsidRPr="008F376F">
        <w:t>8.05 in the control group after</w:t>
      </w:r>
      <w:r>
        <w:t xml:space="preserve"> the case group patients watched their</w:t>
      </w:r>
      <w:r w:rsidRPr="008F376F">
        <w:t xml:space="preserve"> angiogram</w:t>
      </w:r>
      <w:r>
        <w:t>s</w:t>
      </w:r>
      <w:r w:rsidRPr="008F376F">
        <w:t xml:space="preserve"> (</w:t>
      </w:r>
      <w:r w:rsidRPr="00B6556B">
        <w:rPr>
          <w:i/>
          <w:iCs/>
        </w:rPr>
        <w:t>P</w:t>
      </w:r>
      <w:r w:rsidRPr="00B6556B" w:rsidDel="00B6556B">
        <w:t xml:space="preserve"> </w:t>
      </w:r>
      <w:r w:rsidRPr="008F376F">
        <w:t>= 0.0001).</w:t>
      </w:r>
    </w:p>
    <w:p w:rsidR="00C67C68" w:rsidRPr="00E72A00" w:rsidRDefault="00C67C68" w:rsidP="00C67C68">
      <w:pPr>
        <w:bidi w:val="0"/>
        <w:jc w:val="both"/>
        <w:rPr>
          <w:rFonts w:ascii="Calibri" w:hAnsi="Calibri" w:cs="Calibri"/>
          <w:sz w:val="18"/>
          <w:szCs w:val="18"/>
        </w:rPr>
      </w:pPr>
    </w:p>
    <w:p w:rsidR="000A38A5" w:rsidRDefault="000A38A5" w:rsidP="00C67C68">
      <w:pPr>
        <w:pStyle w:val="Default"/>
        <w:jc w:val="both"/>
        <w:rPr>
          <w:b/>
          <w:bCs/>
        </w:rPr>
      </w:pPr>
    </w:p>
    <w:p w:rsidR="000A38A5" w:rsidRDefault="000A38A5">
      <w:pPr>
        <w:bidi w:val="0"/>
        <w:spacing w:after="160" w:line="259" w:lineRule="auto"/>
        <w:rPr>
          <w:b/>
          <w:bCs/>
          <w:color w:val="000000"/>
          <w:lang w:bidi="ar-SA"/>
        </w:rPr>
      </w:pPr>
      <w:r>
        <w:rPr>
          <w:b/>
          <w:bCs/>
        </w:rPr>
        <w:br w:type="page"/>
      </w:r>
    </w:p>
    <w:p w:rsidR="00C67C68" w:rsidRPr="008F376F" w:rsidRDefault="00C67C68" w:rsidP="00C67C68">
      <w:pPr>
        <w:pStyle w:val="Default"/>
        <w:jc w:val="both"/>
      </w:pPr>
      <w:r w:rsidRPr="008F376F">
        <w:rPr>
          <w:b/>
          <w:bCs/>
        </w:rPr>
        <w:lastRenderedPageBreak/>
        <w:t>DISCUSSION</w:t>
      </w:r>
    </w:p>
    <w:p w:rsidR="00C67C68" w:rsidRPr="008F376F" w:rsidRDefault="00C67C68" w:rsidP="00C67C68">
      <w:pPr>
        <w:pStyle w:val="Default"/>
        <w:ind w:firstLine="720"/>
        <w:jc w:val="both"/>
      </w:pPr>
    </w:p>
    <w:p w:rsidR="00C67C68" w:rsidRPr="008F376F" w:rsidRDefault="00C67C68" w:rsidP="00315143">
      <w:pPr>
        <w:pStyle w:val="Default"/>
        <w:spacing w:line="480" w:lineRule="auto"/>
        <w:ind w:firstLine="720"/>
        <w:jc w:val="both"/>
      </w:pPr>
      <w:r>
        <w:t>A g</w:t>
      </w:r>
      <w:r w:rsidRPr="008F376F">
        <w:t xml:space="preserve">rowing number of patients with cardiovascular disease </w:t>
      </w:r>
      <w:r>
        <w:t>are currently</w:t>
      </w:r>
      <w:r w:rsidRPr="008F376F">
        <w:t xml:space="preserve"> followed</w:t>
      </w:r>
      <w:r>
        <w:t xml:space="preserve"> up</w:t>
      </w:r>
      <w:r w:rsidRPr="008F376F">
        <w:t xml:space="preserve"> </w:t>
      </w:r>
      <w:r>
        <w:t>around</w:t>
      </w:r>
      <w:r w:rsidRPr="008F376F">
        <w:t xml:space="preserve"> the world by advanced diagnostic and therapeutic methods. Increasing</w:t>
      </w:r>
      <w:r>
        <w:t xml:space="preserve"> rates of</w:t>
      </w:r>
      <w:r w:rsidRPr="008F376F">
        <w:t xml:space="preserve"> urban life, obesity, smoking,</w:t>
      </w:r>
      <w:r>
        <w:t xml:space="preserve"> and</w:t>
      </w:r>
      <w:r w:rsidRPr="008F376F">
        <w:t xml:space="preserve"> occupational and psychosocial stress</w:t>
      </w:r>
      <w:r>
        <w:t xml:space="preserve"> combined with</w:t>
      </w:r>
      <w:r w:rsidRPr="008F376F">
        <w:t xml:space="preserve"> decreas</w:t>
      </w:r>
      <w:r>
        <w:t xml:space="preserve">ed </w:t>
      </w:r>
      <w:r w:rsidRPr="008F376F">
        <w:t xml:space="preserve">physical activity and inattention to health advice </w:t>
      </w:r>
      <w:r>
        <w:t xml:space="preserve">have </w:t>
      </w:r>
      <w:r w:rsidRPr="008F376F">
        <w:t>increase</w:t>
      </w:r>
      <w:r>
        <w:t>d</w:t>
      </w:r>
      <w:r w:rsidRPr="008F376F">
        <w:t xml:space="preserve"> cardiovascular disease burden and mortality. </w:t>
      </w:r>
      <w:r>
        <w:t>What further compounds the matter is the negative impact of the disease on quality of life in cardiovascular patients. Indeed, s</w:t>
      </w:r>
      <w:r w:rsidRPr="008F376F">
        <w:t>ince cardiovascular disease is a chronic state associated with high health care costs, it is beneficial to focus on improving patients’ quality of life</w:t>
      </w:r>
      <w:r w:rsidR="00BB710F">
        <w:t xml:space="preserve"> </w:t>
      </w:r>
      <w:r w:rsidR="008D1678">
        <w:fldChar w:fldCharType="begin"/>
      </w:r>
      <w:r w:rsidR="00315143">
        <w:instrText xml:space="preserve"> ADDIN EN.CITE &lt;EndNote&gt;&lt;Cite&gt;&lt;Author&gt;Ying&lt;/Author&gt;&lt;Year&gt;2015&lt;/Year&gt;&lt;RecNum&gt;11&lt;/RecNum&gt;&lt;DisplayText&gt;[11]&lt;/DisplayText&gt;&lt;record&gt;&lt;rec-number&gt;11&lt;/rec-number&gt;&lt;foreign-keys&gt;&lt;key app="EN" db-id="zd922rvvwxa999e0xv0xf2002p9zw2ztxawe" timestamp="1550244708"&gt;11&lt;/key&gt;&lt;/foreign-keys&gt;&lt;ref-type name="Journal Article"&gt;17&lt;/ref-type&gt;&lt;contributors&gt;&lt;authors&gt;&lt;author&gt;Zhang Pei Ying&lt;/author&gt;&lt;/authors&gt;&lt;/contributors&gt;&lt;titles&gt;&lt;title&gt;Study of Anxiety/Depression in Patients with Coronary Heart Disease After Percutaneous Coronary Intervention&lt;/title&gt;&lt;secondary-title&gt;Cell biochemistry and biophysics&lt;/secondary-title&gt;&lt;/titles&gt;&lt;periodical&gt;&lt;full-title&gt;Cell biochemistry and biophysics&lt;/full-title&gt;&lt;/periodical&gt;&lt;pages&gt;5&lt;/pages&gt;&lt;volume&gt;72&lt;/volume&gt;&lt;number&gt;2&lt;/number&gt;&lt;section&gt;503&lt;/section&gt;&lt;dates&gt;&lt;year&gt;2015&lt;/year&gt;&lt;/dates&gt;&lt;urls&gt;&lt;/urls&gt;&lt;/record&gt;&lt;/Cite&gt;&lt;/EndNote&gt;</w:instrText>
      </w:r>
      <w:r w:rsidR="008D1678">
        <w:fldChar w:fldCharType="separate"/>
      </w:r>
      <w:r w:rsidR="00315143">
        <w:rPr>
          <w:noProof/>
        </w:rPr>
        <w:t>[11]</w:t>
      </w:r>
      <w:r w:rsidR="008D1678">
        <w:fldChar w:fldCharType="end"/>
      </w:r>
      <w:r w:rsidR="008D1678">
        <w:t>.</w:t>
      </w:r>
    </w:p>
    <w:p w:rsidR="00C67C68" w:rsidRPr="008F376F" w:rsidRDefault="00C67C68" w:rsidP="004C40D4">
      <w:pPr>
        <w:pStyle w:val="Default"/>
        <w:spacing w:line="480" w:lineRule="auto"/>
        <w:ind w:firstLine="720"/>
        <w:jc w:val="both"/>
      </w:pPr>
      <w:r w:rsidRPr="008F376F">
        <w:t>P</w:t>
      </w:r>
      <w:r>
        <w:t>CI</w:t>
      </w:r>
      <w:r w:rsidRPr="008F376F">
        <w:t xml:space="preserve"> is the most common treatment </w:t>
      </w:r>
      <w:r>
        <w:t xml:space="preserve">modality </w:t>
      </w:r>
      <w:r w:rsidRPr="008F376F">
        <w:t>in coronary revascularization. In th</w:t>
      </w:r>
      <w:r>
        <w:t>e current</w:t>
      </w:r>
      <w:r w:rsidRPr="008F376F">
        <w:t xml:space="preserve"> study</w:t>
      </w:r>
      <w:r>
        <w:t>,</w:t>
      </w:r>
      <w:r w:rsidRPr="008F376F">
        <w:t xml:space="preserve"> we </w:t>
      </w:r>
      <w:r>
        <w:t>sought to determine</w:t>
      </w:r>
      <w:r w:rsidRPr="008F376F">
        <w:t xml:space="preserve"> whether showing patients</w:t>
      </w:r>
      <w:r>
        <w:t xml:space="preserve"> their angiograms</w:t>
      </w:r>
      <w:r w:rsidRPr="008F376F">
        <w:t xml:space="preserve"> would reduce their level of anxiety. The main goal of our study was </w:t>
      </w:r>
      <w:r>
        <w:t>to assess</w:t>
      </w:r>
      <w:r w:rsidRPr="008F376F">
        <w:t xml:space="preserve"> </w:t>
      </w:r>
      <w:r>
        <w:t xml:space="preserve">the </w:t>
      </w:r>
      <w:r w:rsidRPr="008F376F">
        <w:t>patients’ anxiety level</w:t>
      </w:r>
      <w:r>
        <w:t>s</w:t>
      </w:r>
      <w:r w:rsidRPr="008F376F">
        <w:t xml:space="preserve"> after </w:t>
      </w:r>
      <w:r>
        <w:t>watching</w:t>
      </w:r>
      <w:r w:rsidRPr="008F376F">
        <w:t xml:space="preserve"> </w:t>
      </w:r>
      <w:r>
        <w:t xml:space="preserve">a video of their angioplasty procedure. </w:t>
      </w:r>
    </w:p>
    <w:p w:rsidR="00C67C68" w:rsidRDefault="00C67C68" w:rsidP="00315143">
      <w:pPr>
        <w:pStyle w:val="Default"/>
        <w:spacing w:line="480" w:lineRule="auto"/>
        <w:ind w:firstLine="720"/>
        <w:jc w:val="both"/>
      </w:pPr>
      <w:r w:rsidRPr="008F376F">
        <w:t>One of the main sources of anxiety</w:t>
      </w:r>
      <w:r>
        <w:t xml:space="preserve"> is</w:t>
      </w:r>
      <w:r w:rsidRPr="008F376F">
        <w:t xml:space="preserve"> hospitalization</w:t>
      </w:r>
      <w:r>
        <w:t>, and the feeling escalates</w:t>
      </w:r>
      <w:r w:rsidRPr="008F376F">
        <w:t xml:space="preserve"> when the patient</w:t>
      </w:r>
      <w:r>
        <w:t xml:space="preserve"> is</w:t>
      </w:r>
      <w:r w:rsidRPr="008F376F">
        <w:t xml:space="preserve"> </w:t>
      </w:r>
      <w:proofErr w:type="spellStart"/>
      <w:r w:rsidRPr="008F376F">
        <w:t>candidate</w:t>
      </w:r>
      <w:r>
        <w:t>d</w:t>
      </w:r>
      <w:proofErr w:type="spellEnd"/>
      <w:r w:rsidRPr="008F376F">
        <w:t xml:space="preserve"> for</w:t>
      </w:r>
      <w:r>
        <w:t xml:space="preserve"> an invasive procedure such as PCI. </w:t>
      </w:r>
      <w:r w:rsidRPr="008F376F">
        <w:t>Anxiety is an emotional status accompanied by tension, anger, fear</w:t>
      </w:r>
      <w:r>
        <w:t>,</w:t>
      </w:r>
      <w:r w:rsidRPr="008F376F">
        <w:t xml:space="preserve"> and </w:t>
      </w:r>
      <w:r>
        <w:t>activated</w:t>
      </w:r>
      <w:r w:rsidRPr="008F376F">
        <w:t xml:space="preserve"> autonomic system</w:t>
      </w:r>
      <w:r>
        <w:t>—</w:t>
      </w:r>
      <w:r w:rsidRPr="008F376F">
        <w:t>lead</w:t>
      </w:r>
      <w:r>
        <w:t>ing</w:t>
      </w:r>
      <w:r w:rsidRPr="008F376F">
        <w:t xml:space="preserve"> to psychophysical responses</w:t>
      </w:r>
      <w:r w:rsidR="00BB710F">
        <w:t xml:space="preserve"> </w:t>
      </w:r>
      <w:r w:rsidR="008D1678">
        <w:fldChar w:fldCharType="begin"/>
      </w:r>
      <w:r w:rsidR="00315143">
        <w:instrText xml:space="preserve"> ADDIN EN.CITE &lt;EndNote&gt;&lt;Cite&gt;&lt;Author&gt;Robyn&lt;/Author&gt;&lt;Year&gt;2010&lt;/Year&gt;&lt;RecNum&gt;12&lt;/RecNum&gt;&lt;DisplayText&gt;[12]&lt;/DisplayText&gt;&lt;record&gt;&lt;rec-number&gt;12&lt;/rec-number&gt;&lt;foreign-keys&gt;&lt;key app="EN" db-id="zd922rvvwxa999e0xv0xf2002p9zw2ztxawe" timestamp="1550244708"&gt;12&lt;/key&gt;&lt;/foreign-keys&gt;&lt;ref-type name="Journal Article"&gt;17&lt;/ref-type&gt;&lt;contributors&gt;&lt;authors&gt;&lt;author&gt;Gallagher Robyn&lt;/author&gt;&lt;author&gt;Trotter Renee&lt;/author&gt;&lt;author&gt;Donoghue Judith&lt;/author&gt;&lt;/authors&gt;&lt;/contributors&gt;&lt;titles&gt;&lt;title&gt;Preprocedural concerns and anxiety assessment in patients undergoing coronary angiography and percutaneous coronary interventions&lt;/title&gt;&lt;secondary-title&gt;European journal of cardiovascular nursing&lt;/secondary-title&gt;&lt;/titles&gt;&lt;periodical&gt;&lt;full-title&gt;European journal of cardiovascular nursing&lt;/full-title&gt;&lt;/periodical&gt;&lt;pages&gt;7&lt;/pages&gt;&lt;volume&gt;9&lt;/volume&gt;&lt;number&gt;1&lt;/number&gt;&lt;section&gt;38&lt;/section&gt;&lt;dates&gt;&lt;year&gt;2010&lt;/year&gt;&lt;/dates&gt;&lt;urls&gt;&lt;/urls&gt;&lt;/record&gt;&lt;/Cite&gt;&lt;/EndNote&gt;</w:instrText>
      </w:r>
      <w:r w:rsidR="008D1678">
        <w:fldChar w:fldCharType="separate"/>
      </w:r>
      <w:r w:rsidR="00315143">
        <w:rPr>
          <w:noProof/>
        </w:rPr>
        <w:t>[12]</w:t>
      </w:r>
      <w:r w:rsidR="008D1678">
        <w:fldChar w:fldCharType="end"/>
      </w:r>
      <w:r w:rsidR="00541699">
        <w:t>.</w:t>
      </w:r>
      <w:r w:rsidR="00541699" w:rsidRPr="00107B5A">
        <w:t xml:space="preserve"> </w:t>
      </w:r>
      <w:r w:rsidRPr="008F376F">
        <w:t>Anxiety increases psychological and then physiological activities such as heart rate, respiratory rate, blood pressure</w:t>
      </w:r>
      <w:r>
        <w:t>,</w:t>
      </w:r>
      <w:r w:rsidRPr="008F376F">
        <w:t xml:space="preserve"> and cardiac output and these changes </w:t>
      </w:r>
      <w:r>
        <w:t>can</w:t>
      </w:r>
      <w:r w:rsidRPr="008F376F">
        <w:t xml:space="preserve"> be harmful </w:t>
      </w:r>
      <w:r>
        <w:t xml:space="preserve">to </w:t>
      </w:r>
      <w:r w:rsidRPr="008F376F">
        <w:t xml:space="preserve">patients with cardiovascular disease. </w:t>
      </w:r>
      <w:r>
        <w:t>Excess</w:t>
      </w:r>
      <w:r w:rsidRPr="008F376F">
        <w:t xml:space="preserve"> anxiety</w:t>
      </w:r>
      <w:r>
        <w:t xml:space="preserve"> can</w:t>
      </w:r>
      <w:r w:rsidRPr="008F376F">
        <w:t xml:space="preserve"> also delay the recovery period</w:t>
      </w:r>
      <w:r w:rsidR="00BB710F">
        <w:t xml:space="preserve"> </w:t>
      </w:r>
      <w:r w:rsidR="008D1678">
        <w:fldChar w:fldCharType="begin"/>
      </w:r>
      <w:r w:rsidR="00315143">
        <w:instrText xml:space="preserve"> ADDIN EN.CITE &lt;EndNote&gt;&lt;Cite&gt;&lt;Author&gt;Thomas&lt;/Author&gt;&lt;Year&gt;2010&lt;/Year&gt;&lt;RecNum&gt;13&lt;/RecNum&gt;&lt;DisplayText&gt;[13]&lt;/DisplayText&gt;&lt;record&gt;&lt;rec-number&gt;13&lt;/rec-number&gt;&lt;foreign-keys&gt;&lt;key app="EN" db-id="zd922rvvwxa999e0xv0xf2002p9zw2ztxawe" timestamp="1550244708"&gt;13&lt;/key&gt;&lt;/foreign-keys&gt;&lt;ref-type name="Journal Article"&gt;17&lt;/ref-type&gt;&lt;contributors&gt;&lt;authors&gt;&lt;author&gt;Meyer Thomas&lt;/author&gt;&lt;author&gt;Buss Ulrich&lt;/author&gt;&lt;author&gt;Hermann-Lingen Christoph&lt;/author&gt;&lt;/authors&gt;&lt;/contributors&gt;&lt;titles&gt;&lt;title&gt;Role of cardiac disease severity in the predictive value of anxiety for all cause mortality&lt;/title&gt;&lt;secondary-title&gt;Psychosomatic Medicine&lt;/secondary-title&gt;&lt;/titles&gt;&lt;periodical&gt;&lt;full-title&gt;Psychosomatic Medicine&lt;/full-title&gt;&lt;/periodical&gt;&lt;pages&gt;7&lt;/pages&gt;&lt;volume&gt;72&lt;/volume&gt;&lt;number&gt;1&lt;/number&gt;&lt;section&gt;9&lt;/section&gt;&lt;dates&gt;&lt;year&gt;2010&lt;/year&gt;&lt;/dates&gt;&lt;urls&gt;&lt;/urls&gt;&lt;/record&gt;&lt;/Cite&gt;&lt;/EndNote&gt;</w:instrText>
      </w:r>
      <w:r w:rsidR="008D1678">
        <w:fldChar w:fldCharType="separate"/>
      </w:r>
      <w:r w:rsidR="00315143">
        <w:rPr>
          <w:noProof/>
        </w:rPr>
        <w:t>[13]</w:t>
      </w:r>
      <w:r w:rsidR="008D1678">
        <w:fldChar w:fldCharType="end"/>
      </w:r>
      <w:r w:rsidR="00541699">
        <w:t>.</w:t>
      </w:r>
      <w:r w:rsidRPr="008F376F">
        <w:t xml:space="preserve"> </w:t>
      </w:r>
    </w:p>
    <w:p w:rsidR="00AC48E3" w:rsidRDefault="00C67C68" w:rsidP="00AC48E3">
      <w:pPr>
        <w:pStyle w:val="Default"/>
        <w:spacing w:line="480" w:lineRule="auto"/>
        <w:ind w:firstLine="720"/>
        <w:jc w:val="both"/>
      </w:pPr>
      <w:r>
        <w:t xml:space="preserve">The results of the present study demonstrated </w:t>
      </w:r>
      <w:r w:rsidRPr="008F376F">
        <w:t xml:space="preserve">no significant difference in the baseline demographic and clinical characteristics between </w:t>
      </w:r>
      <w:r>
        <w:t>the</w:t>
      </w:r>
      <w:r w:rsidRPr="008F376F">
        <w:t xml:space="preserve"> case and control groups. </w:t>
      </w:r>
      <w:r>
        <w:t>We found a</w:t>
      </w:r>
      <w:r w:rsidRPr="008F376F">
        <w:t xml:space="preserve"> significant difference</w:t>
      </w:r>
      <w:r>
        <w:t xml:space="preserve"> </w:t>
      </w:r>
      <w:r w:rsidRPr="008F376F">
        <w:t xml:space="preserve">in </w:t>
      </w:r>
      <w:r>
        <w:t xml:space="preserve">the </w:t>
      </w:r>
      <w:r w:rsidRPr="008F376F">
        <w:t xml:space="preserve">Beck anxiety score </w:t>
      </w:r>
      <w:r>
        <w:t>between the 2 study groups at 1 month’s follow-up, although the</w:t>
      </w:r>
      <w:r w:rsidRPr="008F376F">
        <w:t xml:space="preserve"> difference was more prominent in the case group</w:t>
      </w:r>
      <w:r>
        <w:t xml:space="preserve">. One possible explanation for this finding is that the reduced </w:t>
      </w:r>
      <w:r w:rsidRPr="00B6556B">
        <w:t xml:space="preserve">Beck anxiety score in the case and control group </w:t>
      </w:r>
      <w:r>
        <w:t xml:space="preserve">may have been in </w:t>
      </w:r>
      <w:r>
        <w:lastRenderedPageBreak/>
        <w:t>consequence of</w:t>
      </w:r>
      <w:r w:rsidRPr="00B6556B">
        <w:t xml:space="preserve"> the</w:t>
      </w:r>
      <w:r>
        <w:t xml:space="preserve"> passage of the</w:t>
      </w:r>
      <w:r w:rsidRPr="00B6556B">
        <w:t xml:space="preserve"> recovery period and </w:t>
      </w:r>
      <w:r>
        <w:t>improvement in the</w:t>
      </w:r>
      <w:r w:rsidRPr="00B6556B">
        <w:t xml:space="preserve"> patients’ quality of life after coronary angioplasty. </w:t>
      </w:r>
    </w:p>
    <w:p w:rsidR="00C67C68" w:rsidRPr="00B6556B" w:rsidRDefault="00AC48E3" w:rsidP="00315143">
      <w:pPr>
        <w:pStyle w:val="Default"/>
        <w:spacing w:line="480" w:lineRule="auto"/>
        <w:ind w:firstLine="720"/>
        <w:jc w:val="both"/>
      </w:pPr>
      <w:r>
        <w:t xml:space="preserve">The study of </w:t>
      </w:r>
      <w:r w:rsidRPr="008A718D">
        <w:rPr>
          <w:rFonts w:eastAsia="Calibri"/>
          <w:noProof/>
        </w:rPr>
        <w:t>Suprakash</w:t>
      </w:r>
      <w:r w:rsidR="00A1262A">
        <w:rPr>
          <w:rFonts w:eastAsia="Calibri"/>
          <w:noProof/>
        </w:rPr>
        <w:t xml:space="preserve"> et al</w:t>
      </w:r>
      <w:r w:rsidR="003453E6">
        <w:rPr>
          <w:rFonts w:eastAsia="Calibri"/>
          <w:noProof/>
        </w:rPr>
        <w:t>.</w:t>
      </w:r>
      <w:r>
        <w:rPr>
          <w:rFonts w:eastAsia="Calibri"/>
          <w:noProof/>
        </w:rPr>
        <w:t xml:space="preserve"> </w:t>
      </w:r>
      <w:r w:rsidR="004C40D4">
        <w:t xml:space="preserve"> </w:t>
      </w:r>
      <w:r w:rsidR="008D1678">
        <w:fldChar w:fldCharType="begin"/>
      </w:r>
      <w:r w:rsidR="00315143">
        <w:instrText xml:space="preserve"> ADDIN EN.CITE &lt;EndNote&gt;&lt;Cite&gt;&lt;Author&gt;Suprakash&lt;/Author&gt;&lt;Year&gt;2013&lt;/Year&gt;&lt;RecNum&gt;14&lt;/RecNum&gt;&lt;DisplayText&gt;[14]&lt;/DisplayText&gt;&lt;record&gt;&lt;rec-number&gt;14&lt;/rec-number&gt;&lt;foreign-keys&gt;&lt;key app="EN" db-id="zd922rvvwxa999e0xv0xf2002p9zw2ztxawe" timestamp="1550244708"&gt;14&lt;/key&gt;&lt;/foreign-keys&gt;&lt;ref-type name="Journal Article"&gt;17&lt;/ref-type&gt;&lt;contributors&gt;&lt;authors&gt;&lt;author&gt;Chaudhury Suprakash&lt;/author&gt;&lt;author&gt;Srivastava Kalpana&lt;/author&gt;&lt;/authors&gt;&lt;/contributors&gt;&lt;titles&gt;&lt;title&gt;Relation of depression, anxiety, and quality of life with outcome after percutaneous transluminal coronary angioplasty&lt;/title&gt;&lt;secondary-title&gt;The Scientific World Journal&lt;/secondary-title&gt;&lt;/titles&gt;&lt;periodical&gt;&lt;full-title&gt;The Scientific World Journal&lt;/full-title&gt;&lt;/periodical&gt;&lt;pages&gt;5&lt;/pages&gt;&lt;volume&gt;2013&lt;/volume&gt;&lt;dates&gt;&lt;year&gt;2013&lt;/year&gt;&lt;/dates&gt;&lt;isbn&gt;465979&lt;/isbn&gt;&lt;urls&gt;&lt;/urls&gt;&lt;/record&gt;&lt;/Cite&gt;&lt;/EndNote&gt;</w:instrText>
      </w:r>
      <w:r w:rsidR="008D1678">
        <w:fldChar w:fldCharType="separate"/>
      </w:r>
      <w:r w:rsidR="00315143">
        <w:rPr>
          <w:noProof/>
        </w:rPr>
        <w:t>[14]</w:t>
      </w:r>
      <w:r w:rsidR="008D1678">
        <w:fldChar w:fldCharType="end"/>
      </w:r>
      <w:r w:rsidR="00A1262A">
        <w:t>,</w:t>
      </w:r>
      <w:r w:rsidR="00C67C68" w:rsidRPr="00B6556B">
        <w:t xml:space="preserve"> assess</w:t>
      </w:r>
      <w:r w:rsidR="00C67C68">
        <w:t>ing</w:t>
      </w:r>
      <w:r w:rsidR="00C67C68" w:rsidRPr="00B6556B">
        <w:t xml:space="preserve"> the relationship between depression, anxiety</w:t>
      </w:r>
      <w:r w:rsidR="00C67C68">
        <w:t>,</w:t>
      </w:r>
      <w:r w:rsidR="00C67C68" w:rsidRPr="00B6556B">
        <w:t xml:space="preserve"> and quality of life and outcomes after percutaneous transluminal coronary angioplasty (PTCA)</w:t>
      </w:r>
      <w:r w:rsidR="00C67C68">
        <w:t>,</w:t>
      </w:r>
      <w:r w:rsidR="00C67C68" w:rsidRPr="00B6556B">
        <w:t xml:space="preserve"> showed that 46% of </w:t>
      </w:r>
      <w:r w:rsidR="00C67C68">
        <w:t xml:space="preserve">their </w:t>
      </w:r>
      <w:r w:rsidR="00C67C68" w:rsidRPr="00B6556B">
        <w:t xml:space="preserve">patients had significant anxiety and 32.1% had significant depression before PTCA. Following successful PTCA, none of the patients had significant anxiety, and only 2 (3.6%) had significant depression. </w:t>
      </w:r>
    </w:p>
    <w:p w:rsidR="00C67C68" w:rsidRPr="00B6556B" w:rsidRDefault="003453E6" w:rsidP="00315143">
      <w:pPr>
        <w:pStyle w:val="Default"/>
        <w:spacing w:line="480" w:lineRule="auto"/>
        <w:ind w:firstLine="720"/>
        <w:jc w:val="both"/>
      </w:pPr>
      <w:proofErr w:type="spellStart"/>
      <w:r>
        <w:t>Farkhondeh</w:t>
      </w:r>
      <w:proofErr w:type="spellEnd"/>
      <w:r>
        <w:t xml:space="preserve"> et al.</w:t>
      </w:r>
      <w:r w:rsidR="00AC48E3">
        <w:t xml:space="preserve"> </w:t>
      </w:r>
      <w:r w:rsidR="008D1678">
        <w:fldChar w:fldCharType="begin"/>
      </w:r>
      <w:r w:rsidR="00315143">
        <w:instrText xml:space="preserve"> ADDIN EN.CITE &lt;EndNote&gt;&lt;Cite&gt;&lt;Author&gt;Farkhondeh&lt;/Author&gt;&lt;Year&gt;2014&lt;/Year&gt;&lt;RecNum&gt;15&lt;/RecNum&gt;&lt;DisplayText&gt;[15]&lt;/DisplayText&gt;&lt;record&gt;&lt;rec-number&gt;15&lt;/rec-number&gt;&lt;foreign-keys&gt;&lt;key app="EN" db-id="zd922rvvwxa999e0xv0xf2002p9zw2ztxawe" timestamp="1550244708"&gt;15&lt;/key&gt;&lt;/foreign-keys&gt;&lt;ref-type name="Journal Article"&gt;17&lt;/ref-type&gt;&lt;contributors&gt;&lt;authors&gt;&lt;author&gt;Sharif Farkhondeh&lt;/author&gt;&lt;author&gt;Moshkelgosha Fariba&lt;/author&gt;&lt;author&gt;Molazem Zahra&lt;/author&gt;&lt;author&gt;Najafi Kalyani Majid&lt;/author&gt;&lt;author&gt;Vossughi Mehrdad&lt;/author&gt;&lt;/authors&gt;&lt;/contributors&gt;&lt;titles&gt;&lt;title&gt;The effects of discharge plan on stress, anxiety and depression in patients undergoing percutaneous transluminal coronary angioplasty: a randomized controlled trial&lt;/title&gt;&lt;secondary-title&gt;International journal of community based nursing and midwifery&lt;/secondary-title&gt;&lt;/titles&gt;&lt;periodical&gt;&lt;full-title&gt;International journal of community based nursing and midwifery&lt;/full-title&gt;&lt;/periodical&gt;&lt;pages&gt;9&lt;/pages&gt;&lt;volume&gt;2&lt;/volume&gt;&lt;number&gt;2&lt;/number&gt;&lt;section&gt;60&lt;/section&gt;&lt;dates&gt;&lt;year&gt;2014&lt;/year&gt;&lt;/dates&gt;&lt;urls&gt;&lt;/urls&gt;&lt;/record&gt;&lt;/Cite&gt;&lt;/EndNote&gt;</w:instrText>
      </w:r>
      <w:r w:rsidR="008D1678">
        <w:fldChar w:fldCharType="separate"/>
      </w:r>
      <w:r w:rsidR="00315143">
        <w:rPr>
          <w:noProof/>
        </w:rPr>
        <w:t>[15]</w:t>
      </w:r>
      <w:r w:rsidR="008D1678">
        <w:fldChar w:fldCharType="end"/>
      </w:r>
      <w:r>
        <w:t>,</w:t>
      </w:r>
      <w:r w:rsidR="00C67C68">
        <w:t xml:space="preserve"> </w:t>
      </w:r>
      <w:r w:rsidR="00C67C68" w:rsidRPr="00B6556B">
        <w:t>investigated the effects of discharge planning on stress, anxiety, and depression in patients who had undergone PTCA. They showed a statistical</w:t>
      </w:r>
      <w:r w:rsidR="00C67C68">
        <w:t>ly</w:t>
      </w:r>
      <w:r w:rsidR="00C67C68" w:rsidRPr="00B6556B">
        <w:t xml:space="preserve"> significant decrease in the patients’ level of stress, anxiety</w:t>
      </w:r>
      <w:r w:rsidR="00C67C68">
        <w:t>,</w:t>
      </w:r>
      <w:r w:rsidR="00C67C68" w:rsidRPr="00B6556B">
        <w:t xml:space="preserve"> and depression </w:t>
      </w:r>
      <w:r w:rsidR="00C67C68">
        <w:t>1</w:t>
      </w:r>
      <w:r w:rsidR="00C67C68" w:rsidRPr="00B6556B">
        <w:t xml:space="preserve"> month after the planned discharge. Although the scores of stress, anxiety</w:t>
      </w:r>
      <w:r w:rsidR="00C67C68">
        <w:t>,</w:t>
      </w:r>
      <w:r w:rsidR="00C67C68" w:rsidRPr="00B6556B">
        <w:t xml:space="preserve"> and depression in the experimental group did not differ significantly on the day of discharge</w:t>
      </w:r>
      <w:r w:rsidR="00C67C68">
        <w:t>,</w:t>
      </w:r>
      <w:r w:rsidR="00C67C68" w:rsidRPr="00B6556B">
        <w:t xml:space="preserve"> the decrease was considerable compared with that of the control group. </w:t>
      </w:r>
    </w:p>
    <w:p w:rsidR="00C67C68" w:rsidRDefault="004C40D4" w:rsidP="00315143">
      <w:pPr>
        <w:pStyle w:val="Default"/>
        <w:spacing w:line="480" w:lineRule="auto"/>
        <w:ind w:firstLine="720"/>
        <w:jc w:val="both"/>
      </w:pPr>
      <w:r w:rsidRPr="008A718D">
        <w:rPr>
          <w:rFonts w:eastAsia="Calibri"/>
          <w:noProof/>
        </w:rPr>
        <w:t>Cengiz</w:t>
      </w:r>
      <w:r>
        <w:t xml:space="preserve"> et al</w:t>
      </w:r>
      <w:r w:rsidR="003453E6">
        <w:t>.</w:t>
      </w:r>
      <w:r>
        <w:t xml:space="preserve"> </w:t>
      </w:r>
      <w:r w:rsidR="008D1678">
        <w:fldChar w:fldCharType="begin"/>
      </w:r>
      <w:r w:rsidR="00315143">
        <w:instrText xml:space="preserve"> ADDIN EN.CITE &lt;EndNote&gt;&lt;Cite&gt;&lt;Author&gt;Cengiz&lt;/Author&gt;&lt;Year&gt;2015&lt;/Year&gt;&lt;RecNum&gt;16&lt;/RecNum&gt;&lt;DisplayText&gt;[16]&lt;/DisplayText&gt;&lt;record&gt;&lt;rec-number&gt;16&lt;/rec-number&gt;&lt;foreign-keys&gt;&lt;key app="EN" db-id="zd922rvvwxa999e0xv0xf2002p9zw2ztxawe" timestamp="1550244708"&gt;16&lt;/key&gt;&lt;/foreign-keys&gt;&lt;ref-type name="Journal Article"&gt;17&lt;/ref-type&gt;&lt;contributors&gt;&lt;authors&gt;&lt;author&gt;Basar Cengiz&lt;/author&gt;&lt;author&gt;&lt;style face="normal" font="default" size="100%"&gt;Be&lt;/style&gt;&lt;style face="normal" font="default" charset="238" size="100%"&gt;şli F&lt;/style&gt;&lt;style face="normal" font="default" size="100%"&gt;eyzullah&lt;/style&gt;&lt;/author&gt;&lt;author&gt;&lt;style face="normal" font="default" charset="238" size="100%"&gt;Keçebaş M&lt;/style&gt;&lt;style face="normal" font="default" size="100%"&gt;esut&lt;/style&gt;&lt;/author&gt;&lt;author&gt;&lt;style face="normal" font="default" charset="238" size="100%"&gt;Kayapınar O&lt;/style&gt;&lt;style face="normal" font="default" size="100%"&gt;sman&lt;/style&gt;&lt;/author&gt;&lt;author&gt;&lt;style face="normal" font="default" charset="238" size="100%"&gt;Turker Y&lt;/style&gt;&lt;style face="normal" font="default" size="100%"&gt;asin&lt;/style&gt;&lt;/author&gt;&lt;/authors&gt;&lt;/contributors&gt;&lt;titles&gt;&lt;title&gt;The effect of audio-visual education prior to coronary angiography on the state anxiety&lt;/title&gt;&lt;secondary-title&gt;Clinical case reports and reviews&lt;/secondary-title&gt;&lt;/titles&gt;&lt;periodical&gt;&lt;full-title&gt;Clinical case reports and reviews&lt;/full-title&gt;&lt;/periodical&gt;&lt;pages&gt;3&lt;/pages&gt;&lt;volume&gt;1&lt;/volume&gt;&lt;number&gt;8&lt;/number&gt;&lt;section&gt;176&lt;/section&gt;&lt;dates&gt;&lt;year&gt;2015&lt;/year&gt;&lt;/dates&gt;&lt;urls&gt;&lt;/urls&gt;&lt;/record&gt;&lt;/Cite&gt;&lt;/EndNote&gt;</w:instrText>
      </w:r>
      <w:r w:rsidR="008D1678">
        <w:fldChar w:fldCharType="separate"/>
      </w:r>
      <w:r w:rsidR="00315143">
        <w:rPr>
          <w:noProof/>
        </w:rPr>
        <w:t>[16]</w:t>
      </w:r>
      <w:r w:rsidR="008D1678">
        <w:fldChar w:fldCharType="end"/>
      </w:r>
      <w:r w:rsidR="003453E6">
        <w:t>,</w:t>
      </w:r>
      <w:r w:rsidR="00C67C68" w:rsidRPr="00B6556B">
        <w:t xml:space="preserve"> evaluated the effect</w:t>
      </w:r>
      <w:r w:rsidR="00C67C68">
        <w:t>s</w:t>
      </w:r>
      <w:r w:rsidR="00C67C68" w:rsidRPr="00B6556B">
        <w:t xml:space="preserve"> of </w:t>
      </w:r>
      <w:r w:rsidR="00C67C68">
        <w:t>audiovisual</w:t>
      </w:r>
      <w:r w:rsidR="00C67C68" w:rsidRPr="00B6556B">
        <w:t xml:space="preserve"> education </w:t>
      </w:r>
      <w:r w:rsidR="00C67C68">
        <w:t>prior to</w:t>
      </w:r>
      <w:r w:rsidR="00C67C68" w:rsidRPr="00B6556B">
        <w:t xml:space="preserve"> coronary angiography on patients’ anxiety state. The</w:t>
      </w:r>
      <w:r w:rsidR="00C67C68">
        <w:t xml:space="preserve"> authors</w:t>
      </w:r>
      <w:r w:rsidR="00C67C68" w:rsidRPr="00B6556B">
        <w:t xml:space="preserve"> provided an </w:t>
      </w:r>
      <w:r w:rsidR="00C67C68">
        <w:t>audiovisual</w:t>
      </w:r>
      <w:r w:rsidR="00C67C68" w:rsidRPr="00B6556B">
        <w:t xml:space="preserve"> educational program for </w:t>
      </w:r>
      <w:r w:rsidR="00C67C68">
        <w:t xml:space="preserve">their </w:t>
      </w:r>
      <w:r w:rsidR="00C67C68" w:rsidRPr="00B6556B">
        <w:t xml:space="preserve">experimental group (60 patients) </w:t>
      </w:r>
      <w:r w:rsidR="00C67C68">
        <w:t>on the</w:t>
      </w:r>
      <w:r w:rsidR="00C67C68" w:rsidRPr="00B6556B">
        <w:t xml:space="preserve"> day before the procedure</w:t>
      </w:r>
      <w:r w:rsidR="00C67C68">
        <w:t>,</w:t>
      </w:r>
      <w:r w:rsidR="00C67C68" w:rsidRPr="00B6556B">
        <w:t xml:space="preserve"> while </w:t>
      </w:r>
      <w:r w:rsidR="00C67C68">
        <w:t xml:space="preserve">they gave their control group </w:t>
      </w:r>
      <w:r w:rsidR="00C67C68" w:rsidRPr="00B6556B">
        <w:t>(60 patients)</w:t>
      </w:r>
      <w:r w:rsidR="00C67C68">
        <w:t xml:space="preserve"> </w:t>
      </w:r>
      <w:r w:rsidR="00C67C68" w:rsidRPr="00B6556B">
        <w:t>only verbal explanation</w:t>
      </w:r>
      <w:r w:rsidR="00194535">
        <w:t xml:space="preserve">s </w:t>
      </w:r>
      <w:r w:rsidR="00C67C68">
        <w:t xml:space="preserve">about the procedure. </w:t>
      </w:r>
      <w:r w:rsidR="00C67C68" w:rsidRPr="00B6556B">
        <w:t xml:space="preserve">They found that the level of anxiety, pulse rate, </w:t>
      </w:r>
      <w:r w:rsidR="00C67C68">
        <w:t xml:space="preserve">and </w:t>
      </w:r>
      <w:r w:rsidR="00C67C68" w:rsidRPr="00B6556B">
        <w:t xml:space="preserve">systolic and diastolic blood pressures were significantly lower in </w:t>
      </w:r>
      <w:r w:rsidR="00C67C68">
        <w:t xml:space="preserve">the </w:t>
      </w:r>
      <w:r w:rsidR="00C67C68" w:rsidRPr="00B6556B">
        <w:t xml:space="preserve">experimental group </w:t>
      </w:r>
      <w:r w:rsidR="00C67C68">
        <w:t>than in</w:t>
      </w:r>
      <w:r w:rsidR="00C67C68" w:rsidRPr="00B6556B">
        <w:t xml:space="preserve"> the control group. </w:t>
      </w:r>
    </w:p>
    <w:p w:rsidR="00C67C68" w:rsidRPr="00B6556B" w:rsidRDefault="004C40D4" w:rsidP="00315143">
      <w:pPr>
        <w:pStyle w:val="Default"/>
        <w:spacing w:line="480" w:lineRule="auto"/>
        <w:ind w:firstLine="720"/>
        <w:jc w:val="both"/>
      </w:pPr>
      <w:r w:rsidRPr="008A718D">
        <w:rPr>
          <w:rFonts w:eastAsia="Calibri"/>
          <w:noProof/>
        </w:rPr>
        <w:t>Shiloh</w:t>
      </w:r>
      <w:r>
        <w:t xml:space="preserve"> et al</w:t>
      </w:r>
      <w:r w:rsidR="003453E6">
        <w:t>.</w:t>
      </w:r>
      <w:r>
        <w:t xml:space="preserve"> </w:t>
      </w:r>
      <w:r w:rsidR="008D1678">
        <w:fldChar w:fldCharType="begin"/>
      </w:r>
      <w:r w:rsidR="00315143">
        <w:instrText xml:space="preserve"> ADDIN EN.CITE &lt;EndNote&gt;&lt;Cite&gt;&lt;Author&gt;Shiloh&lt;/Author&gt;&lt;Year&gt;2014&lt;/Year&gt;&lt;RecNum&gt;17&lt;/RecNum&gt;&lt;DisplayText&gt;[17]&lt;/DisplayText&gt;&lt;record&gt;&lt;rec-number&gt;17&lt;/rec-number&gt;&lt;foreign-keys&gt;&lt;key app="EN" db-id="zd922rvvwxa999e0xv0xf2002p9zw2ztxawe" timestamp="1550244708"&gt;17&lt;/key&gt;&lt;/foreign-keys&gt;&lt;ref-type name="Journal Article"&gt;17&lt;/ref-type&gt;&lt;contributors&gt;&lt;authors&gt;&lt;author&gt;Shiloh Shiloh&lt;/author&gt;&lt;author&gt;Steinvil Arie&lt;/author&gt;&lt;author&gt;Drori Erga&lt;/author&gt;&lt;author&gt;Peleg Shira&lt;/author&gt;&lt;author&gt;Abramowitz Yigal&lt;/author&gt;&lt;author&gt;Banai Shmuel&lt;/author&gt;&lt;author&gt;Finkelstein Ariel&lt;/author&gt;&lt;/authors&gt;&lt;/contributors&gt;&lt;titles&gt;&lt;title&gt;Effect of guidance during cardiac catheterization on emotional, cognitive and behavioral outcomes&lt;/title&gt;&lt;secondary-title&gt;Journal of cardiovascular medicine &lt;/secondary-title&gt;&lt;/titles&gt;&lt;periodical&gt;&lt;full-title&gt;Journal of cardiovascular medicine&lt;/full-title&gt;&lt;/periodical&gt;&lt;pages&gt;7&lt;/pages&gt;&lt;volume&gt;15&lt;/volume&gt;&lt;number&gt;4&lt;/number&gt;&lt;section&gt;336&lt;/section&gt;&lt;dates&gt;&lt;year&gt;2014&lt;/year&gt;&lt;/dates&gt;&lt;urls&gt;&lt;/urls&gt;&lt;/record&gt;&lt;/Cite&gt;&lt;/EndNote&gt;</w:instrText>
      </w:r>
      <w:r w:rsidR="008D1678">
        <w:fldChar w:fldCharType="separate"/>
      </w:r>
      <w:r w:rsidR="00315143">
        <w:rPr>
          <w:noProof/>
        </w:rPr>
        <w:t>[17]</w:t>
      </w:r>
      <w:r w:rsidR="008D1678">
        <w:fldChar w:fldCharType="end"/>
      </w:r>
      <w:r w:rsidR="003453E6">
        <w:t>,</w:t>
      </w:r>
      <w:r w:rsidR="00963788">
        <w:t xml:space="preserve"> </w:t>
      </w:r>
      <w:r w:rsidR="00C67C68" w:rsidRPr="00B6556B">
        <w:t>investigated the effect</w:t>
      </w:r>
      <w:r w:rsidR="00C67C68">
        <w:t>s</w:t>
      </w:r>
      <w:r w:rsidR="00C67C68" w:rsidRPr="00B6556B">
        <w:t xml:space="preserve"> of instruction during coronary intervention on</w:t>
      </w:r>
      <w:r w:rsidR="00C67C68">
        <w:t xml:space="preserve"> the</w:t>
      </w:r>
      <w:r w:rsidR="00C67C68" w:rsidRPr="00B6556B">
        <w:t xml:space="preserve"> emotional, cognitive</w:t>
      </w:r>
      <w:r w:rsidR="00C67C68">
        <w:t>,</w:t>
      </w:r>
      <w:r w:rsidR="00C67C68" w:rsidRPr="00B6556B">
        <w:t xml:space="preserve"> and behavioral outcomes of patients undergoing PCI. The</w:t>
      </w:r>
      <w:r w:rsidR="00C67C68">
        <w:t>y provided explanations to their</w:t>
      </w:r>
      <w:r w:rsidR="00C67C68" w:rsidRPr="00B6556B">
        <w:t xml:space="preserve"> case group</w:t>
      </w:r>
      <w:r w:rsidR="00C67C68">
        <w:t xml:space="preserve"> patients (n =</w:t>
      </w:r>
      <w:r w:rsidR="00C67C68" w:rsidRPr="00B6556B">
        <w:t>57</w:t>
      </w:r>
      <w:r w:rsidR="00C67C68">
        <w:t>) while they were watching</w:t>
      </w:r>
      <w:r w:rsidR="00C67C68" w:rsidRPr="00B6556B">
        <w:t xml:space="preserve"> the monitor. These </w:t>
      </w:r>
      <w:r w:rsidR="00C67C68" w:rsidRPr="00B6556B">
        <w:lastRenderedPageBreak/>
        <w:t>patients reported</w:t>
      </w:r>
      <w:r w:rsidR="00C67C68" w:rsidRPr="008F376F">
        <w:t xml:space="preserve"> </w:t>
      </w:r>
      <w:r w:rsidR="00C67C68" w:rsidRPr="00B6556B">
        <w:t>less negative affect and anxiety and higher level</w:t>
      </w:r>
      <w:r w:rsidR="00C67C68">
        <w:t>s</w:t>
      </w:r>
      <w:r w:rsidR="00C67C68" w:rsidRPr="00B6556B">
        <w:t xml:space="preserve"> of self-efficacy than the control group at</w:t>
      </w:r>
      <w:r w:rsidR="00C67C68">
        <w:t xml:space="preserve"> 1</w:t>
      </w:r>
      <w:r w:rsidR="00C67C68" w:rsidRPr="00B6556B">
        <w:t xml:space="preserve"> month</w:t>
      </w:r>
      <w:r w:rsidR="00C67C68">
        <w:t>’s</w:t>
      </w:r>
      <w:r w:rsidR="00C67C68" w:rsidRPr="00B6556B">
        <w:t xml:space="preserve"> follow</w:t>
      </w:r>
      <w:r w:rsidR="00C67C68">
        <w:t>-</w:t>
      </w:r>
      <w:r w:rsidR="00C67C68" w:rsidRPr="00B6556B">
        <w:t xml:space="preserve">up. </w:t>
      </w:r>
    </w:p>
    <w:p w:rsidR="00C67C68" w:rsidRPr="00B6556B" w:rsidRDefault="00C67C68" w:rsidP="00315143">
      <w:pPr>
        <w:pStyle w:val="Default"/>
        <w:spacing w:line="480" w:lineRule="auto"/>
        <w:ind w:firstLine="720"/>
        <w:jc w:val="both"/>
      </w:pPr>
      <w:r w:rsidRPr="00B6556B">
        <w:t>A randomized clinical trial by</w:t>
      </w:r>
      <w:r w:rsidR="00AA7EC2" w:rsidRPr="00AA7EC2">
        <w:t xml:space="preserve"> </w:t>
      </w:r>
      <w:hyperlink r:id="rId8" w:history="1">
        <w:proofErr w:type="spellStart"/>
        <w:r w:rsidR="00AA7EC2" w:rsidRPr="00AA7EC2">
          <w:t>Ruffinengo</w:t>
        </w:r>
        <w:proofErr w:type="spellEnd"/>
      </w:hyperlink>
      <w:r w:rsidR="00AA7EC2">
        <w:t xml:space="preserve"> </w:t>
      </w:r>
      <w:r w:rsidR="003453E6">
        <w:t xml:space="preserve">et </w:t>
      </w:r>
      <w:r w:rsidR="00AA7EC2">
        <w:t>al</w:t>
      </w:r>
      <w:r w:rsidR="003453E6">
        <w:t>.</w:t>
      </w:r>
      <w:r w:rsidR="003A7942">
        <w:t xml:space="preserve"> </w:t>
      </w:r>
      <w:r w:rsidR="008D1678">
        <w:fldChar w:fldCharType="begin"/>
      </w:r>
      <w:r w:rsidR="00315143">
        <w:instrText xml:space="preserve"> ADDIN EN.CITE &lt;EndNote&gt;&lt;Cite&gt;&lt;Author&gt;C&lt;/Author&gt;&lt;Year&gt;2009&lt;/Year&gt;&lt;RecNum&gt;18&lt;/RecNum&gt;&lt;DisplayText&gt;[18]&lt;/DisplayText&gt;&lt;record&gt;&lt;rec-number&gt;18&lt;/rec-number&gt;&lt;foreign-keys&gt;&lt;key app="EN" db-id="zd922rvvwxa999e0xv0xf2002p9zw2ztxawe" timestamp="1550244708"&gt;18&lt;/key&gt;&lt;/foreign-keys&gt;&lt;ref-type name="Journal Article"&gt;17&lt;/ref-type&gt;&lt;contributors&gt;&lt;authors&gt;&lt;author&gt;Ruffinengo C&lt;/author&gt;&lt;author&gt;Versino E&lt;/author&gt;&lt;author&gt;Renga G&lt;/author&gt;&lt;/authors&gt;&lt;/contributors&gt;&lt;titles&gt;&lt;title&gt;Effectiveness of an informative video on reducing anxiety levels in patients undergoing elective coronarography: an RCT&lt;/title&gt;&lt;secondary-title&gt;European journal of cardiovascular nursing &lt;/secondary-title&gt;&lt;/titles&gt;&lt;periodical&gt;&lt;full-title&gt;European journal of cardiovascular nursing&lt;/full-title&gt;&lt;/periodical&gt;&lt;pages&gt;5&lt;/pages&gt;&lt;volume&gt;8&lt;/volume&gt;&lt;section&gt;57&lt;/section&gt;&lt;dates&gt;&lt;year&gt;2009&lt;/year&gt;&lt;/dates&gt;&lt;urls&gt;&lt;/urls&gt;&lt;/record&gt;&lt;/Cite&gt;&lt;/EndNote&gt;</w:instrText>
      </w:r>
      <w:r w:rsidR="008D1678">
        <w:fldChar w:fldCharType="separate"/>
      </w:r>
      <w:r w:rsidR="00315143">
        <w:rPr>
          <w:noProof/>
        </w:rPr>
        <w:t>[18]</w:t>
      </w:r>
      <w:r w:rsidR="008D1678">
        <w:fldChar w:fldCharType="end"/>
      </w:r>
      <w:r w:rsidR="003453E6">
        <w:t>,</w:t>
      </w:r>
      <w:r>
        <w:t xml:space="preserve"> </w:t>
      </w:r>
      <w:r w:rsidRPr="00B6556B">
        <w:t xml:space="preserve">evaluated the influence of informative video on the level of anxiety in patients who underwent coronary angiography. The anxiety level of </w:t>
      </w:r>
      <w:r>
        <w:t xml:space="preserve">the </w:t>
      </w:r>
      <w:r w:rsidRPr="00B6556B">
        <w:t>patients</w:t>
      </w:r>
      <w:r>
        <w:t xml:space="preserve">, as </w:t>
      </w:r>
      <w:r w:rsidRPr="00B6556B">
        <w:t>assessed</w:t>
      </w:r>
      <w:r>
        <w:t xml:space="preserve"> with the</w:t>
      </w:r>
      <w:r w:rsidRPr="00B6556B">
        <w:t xml:space="preserve"> </w:t>
      </w:r>
      <w:proofErr w:type="spellStart"/>
      <w:r w:rsidRPr="00B6556B">
        <w:t>Spielberger</w:t>
      </w:r>
      <w:proofErr w:type="spellEnd"/>
      <w:r w:rsidRPr="00B6556B">
        <w:t xml:space="preserve"> scale, was significantly reduced in the experimental group. These patients also reported higher level</w:t>
      </w:r>
      <w:r>
        <w:t>s</w:t>
      </w:r>
      <w:r w:rsidRPr="00B6556B">
        <w:t xml:space="preserve"> of satisfaction </w:t>
      </w:r>
      <w:r>
        <w:t>than the</w:t>
      </w:r>
      <w:r w:rsidRPr="00B6556B">
        <w:t xml:space="preserve"> control group. </w:t>
      </w:r>
    </w:p>
    <w:p w:rsidR="00C67C68" w:rsidRPr="00B6556B" w:rsidRDefault="00C67C68" w:rsidP="004C40D4">
      <w:pPr>
        <w:pStyle w:val="Default"/>
        <w:spacing w:line="480" w:lineRule="auto"/>
        <w:ind w:firstLine="720"/>
        <w:jc w:val="both"/>
      </w:pPr>
      <w:r>
        <w:t xml:space="preserve">Chiming in with the results of similar studies, our findings demonstrated that </w:t>
      </w:r>
      <w:r w:rsidRPr="00B6556B">
        <w:t xml:space="preserve">educating patients about the procedure and the therapeutic process </w:t>
      </w:r>
      <w:r>
        <w:t>alleviated</w:t>
      </w:r>
      <w:r w:rsidRPr="00B6556B">
        <w:t xml:space="preserve"> their anxiety and </w:t>
      </w:r>
      <w:r>
        <w:t>enhanced</w:t>
      </w:r>
      <w:r w:rsidRPr="00B6556B">
        <w:t xml:space="preserve"> the</w:t>
      </w:r>
      <w:r>
        <w:t xml:space="preserve">ir </w:t>
      </w:r>
      <w:r w:rsidRPr="00B6556B">
        <w:t>quality of life</w:t>
      </w:r>
      <w:r>
        <w:t>. Nevertheless,</w:t>
      </w:r>
      <w:r w:rsidRPr="00B6556B">
        <w:t xml:space="preserve"> the educational method </w:t>
      </w:r>
      <w:r>
        <w:t>drawn upon</w:t>
      </w:r>
      <w:r w:rsidRPr="00B6556B">
        <w:t xml:space="preserve"> in th</w:t>
      </w:r>
      <w:r>
        <w:t>e current</w:t>
      </w:r>
      <w:r w:rsidRPr="00B6556B">
        <w:t xml:space="preserve"> study</w:t>
      </w:r>
      <w:r>
        <w:t xml:space="preserve"> is</w:t>
      </w:r>
      <w:r w:rsidRPr="00B6556B">
        <w:t xml:space="preserve"> a novel method </w:t>
      </w:r>
      <w:r>
        <w:t>by comparison with those used in the previous investigations. We believe that t</w:t>
      </w:r>
      <w:r w:rsidRPr="00B6556B">
        <w:t xml:space="preserve">his simple method </w:t>
      </w:r>
      <w:r>
        <w:t xml:space="preserve">is also capable of reducing </w:t>
      </w:r>
      <w:r w:rsidRPr="00B6556B">
        <w:t xml:space="preserve">unnecessary visits and costs related to patients’ anxiety. </w:t>
      </w:r>
    </w:p>
    <w:p w:rsidR="00C67C68" w:rsidRDefault="00C67C68" w:rsidP="00315143">
      <w:pPr>
        <w:pStyle w:val="Default"/>
        <w:spacing w:line="480" w:lineRule="auto"/>
        <w:ind w:firstLine="720"/>
        <w:jc w:val="both"/>
      </w:pPr>
      <w:r w:rsidRPr="00B6556B">
        <w:t xml:space="preserve">One of the factors </w:t>
      </w:r>
      <w:r>
        <w:t>assessed</w:t>
      </w:r>
      <w:r w:rsidRPr="00B6556B">
        <w:t xml:space="preserve"> in our research was illness perception in the case and control groups. Illness perception is a very important component in chronic diseases </w:t>
      </w:r>
      <w:r>
        <w:t>and may be</w:t>
      </w:r>
      <w:r w:rsidRPr="00B6556B">
        <w:t xml:space="preserve"> involve</w:t>
      </w:r>
      <w:r>
        <w:t>d</w:t>
      </w:r>
      <w:r w:rsidRPr="00B6556B">
        <w:t xml:space="preserve"> in disease-related functioning and outcomes in adults</w:t>
      </w:r>
      <w:r w:rsidR="003A7942">
        <w:t xml:space="preserve"> </w:t>
      </w:r>
      <w:r w:rsidR="008D1678">
        <w:fldChar w:fldCharType="begin"/>
      </w:r>
      <w:r w:rsidR="00315143">
        <w:instrText xml:space="preserve"> ADDIN EN.CITE &lt;EndNote&gt;&lt;Cite&gt;&lt;Author&gt;Saeideh&lt;/Author&gt;&lt;Year&gt;2010&lt;/Year&gt;&lt;RecNum&gt;10&lt;/RecNum&gt;&lt;DisplayText&gt;[10]&lt;/DisplayText&gt;&lt;record&gt;&lt;rec-number&gt;10&lt;/rec-number&gt;&lt;foreign-keys&gt;&lt;key app="EN" db-id="zd922rvvwxa999e0xv0xf2002p9zw2ztxawe" timestamp="1550244708"&gt;10&lt;/key&gt;&lt;/foreign-keys&gt;&lt;ref-type name="Journal Article"&gt;17&lt;/ref-type&gt;&lt;contributors&gt;&lt;authors&gt;&lt;author&gt;Bazzazian Saeideh&lt;/author&gt;&lt;author&gt;Besharat Mohammad Ali&lt;/author&gt;&lt;/authors&gt;&lt;/contributors&gt;&lt;titles&gt;&lt;title&gt;Reliability and validity of a Farsi version of the brief illness perception questionnaire&lt;/title&gt;&lt;secondary-title&gt;Procedia-Social and Behavioral Sciences&lt;/secondary-title&gt;&lt;/titles&gt;&lt;periodical&gt;&lt;full-title&gt;Procedia-Social and Behavioral Sciences&lt;/full-title&gt;&lt;/periodical&gt;&lt;pages&gt;4&lt;/pages&gt;&lt;volume&gt;5&lt;/volume&gt;&lt;section&gt;962&lt;/section&gt;&lt;dates&gt;&lt;year&gt;2010&lt;/year&gt;&lt;/dates&gt;&lt;urls&gt;&lt;/urls&gt;&lt;/record&gt;&lt;/Cite&gt;&lt;/EndNote&gt;</w:instrText>
      </w:r>
      <w:r w:rsidR="008D1678">
        <w:fldChar w:fldCharType="separate"/>
      </w:r>
      <w:r w:rsidR="00315143">
        <w:rPr>
          <w:noProof/>
        </w:rPr>
        <w:t>[10]</w:t>
      </w:r>
      <w:r w:rsidR="008D1678">
        <w:fldChar w:fldCharType="end"/>
      </w:r>
      <w:r w:rsidR="00963788">
        <w:t xml:space="preserve">. </w:t>
      </w:r>
      <w:r w:rsidRPr="00B6556B">
        <w:t xml:space="preserve">The results of our study showed that there was a significant difference in illness perception between </w:t>
      </w:r>
      <w:r>
        <w:t xml:space="preserve">the </w:t>
      </w:r>
      <w:r w:rsidRPr="00B6556B">
        <w:t xml:space="preserve">case and control groups based on </w:t>
      </w:r>
      <w:r>
        <w:t xml:space="preserve">the </w:t>
      </w:r>
      <w:r w:rsidRPr="00B6556B">
        <w:t xml:space="preserve">BIPQ. As </w:t>
      </w:r>
      <w:r>
        <w:t xml:space="preserve">was </w:t>
      </w:r>
      <w:r w:rsidRPr="00B6556B">
        <w:t>explained previously, higher score</w:t>
      </w:r>
      <w:r>
        <w:t>s</w:t>
      </w:r>
      <w:r w:rsidRPr="00B6556B">
        <w:t xml:space="preserve"> of BIPQ indicate </w:t>
      </w:r>
      <w:r>
        <w:t xml:space="preserve">patients’ </w:t>
      </w:r>
      <w:r w:rsidRPr="00B6556B">
        <w:t>poor</w:t>
      </w:r>
      <w:r>
        <w:t>er</w:t>
      </w:r>
      <w:r w:rsidRPr="00B6556B">
        <w:t xml:space="preserve"> perception </w:t>
      </w:r>
      <w:r>
        <w:t>of</w:t>
      </w:r>
      <w:r w:rsidRPr="00B6556B">
        <w:t xml:space="preserve"> their illness. It</w:t>
      </w:r>
      <w:r>
        <w:t xml:space="preserve"> is worthy of note</w:t>
      </w:r>
      <w:r w:rsidRPr="00B6556B">
        <w:t xml:space="preserve"> that illness perception in </w:t>
      </w:r>
      <w:r>
        <w:t xml:space="preserve">our </w:t>
      </w:r>
      <w:r w:rsidRPr="00B6556B">
        <w:t>control group also decreased</w:t>
      </w:r>
      <w:r>
        <w:t>,</w:t>
      </w:r>
      <w:r w:rsidRPr="00B6556B">
        <w:t xml:space="preserve"> but</w:t>
      </w:r>
      <w:r>
        <w:t xml:space="preserve"> the change failed to constitute statistical significance. One possible explanation for this is that these patients may have received education from their nurses and treating physicians during their hospital stay. To the best of our knowledge, t</w:t>
      </w:r>
      <w:r w:rsidRPr="00B6556B">
        <w:t>here is no similar study</w:t>
      </w:r>
      <w:r>
        <w:t xml:space="preserve"> in the existing literature on</w:t>
      </w:r>
      <w:r w:rsidRPr="00B6556B">
        <w:t xml:space="preserve"> illness perception in patients undergoing coronary angioplasty and the present work is the first study in this field. </w:t>
      </w:r>
    </w:p>
    <w:p w:rsidR="00C67C68" w:rsidRPr="00B6556B" w:rsidRDefault="00C67C68" w:rsidP="00315143">
      <w:pPr>
        <w:pStyle w:val="Default"/>
        <w:spacing w:line="480" w:lineRule="auto"/>
        <w:ind w:firstLine="720"/>
        <w:jc w:val="both"/>
      </w:pPr>
      <w:r w:rsidRPr="00B6556B">
        <w:lastRenderedPageBreak/>
        <w:t>The results of previous studies</w:t>
      </w:r>
      <w:r>
        <w:t xml:space="preserve"> have</w:t>
      </w:r>
      <w:r w:rsidRPr="00B6556B">
        <w:t xml:space="preserve"> indicated that</w:t>
      </w:r>
      <w:r w:rsidRPr="009C096A">
        <w:t xml:space="preserve"> </w:t>
      </w:r>
      <w:r w:rsidRPr="00B6556B">
        <w:t>psychological problems</w:t>
      </w:r>
      <w:r>
        <w:t>,</w:t>
      </w:r>
      <w:r w:rsidRPr="00B6556B">
        <w:t xml:space="preserve"> </w:t>
      </w:r>
      <w:r>
        <w:t>not least</w:t>
      </w:r>
      <w:r w:rsidRPr="00B6556B">
        <w:t xml:space="preserve"> depression and anxiety</w:t>
      </w:r>
      <w:r>
        <w:t>,</w:t>
      </w:r>
      <w:r w:rsidRPr="00B6556B">
        <w:t xml:space="preserve"> </w:t>
      </w:r>
      <w:r>
        <w:t xml:space="preserve">have a prominent role in the outcome of </w:t>
      </w:r>
      <w:r w:rsidRPr="00B6556B">
        <w:t>cardiovascular patients. Similar to depression, anxiety is one of the most common psychological reactions in patients with cardiovascular disease and heart failure</w:t>
      </w:r>
      <w:r w:rsidR="003A7942">
        <w:t xml:space="preserve"> </w:t>
      </w:r>
      <w:r w:rsidR="008D1678">
        <w:fldChar w:fldCharType="begin"/>
      </w:r>
      <w:r w:rsidR="00315143">
        <w:instrText xml:space="preserve"> ADDIN EN.CITE &lt;EndNote&gt;&lt;Cite&gt;&lt;Author&gt;D&lt;/Author&gt;&lt;Year&gt;2006&lt;/Year&gt;&lt;RecNum&gt;19&lt;/RecNum&gt;&lt;DisplayText&gt;[19]&lt;/DisplayText&gt;&lt;record&gt;&lt;rec-number&gt;19&lt;/rec-number&gt;&lt;foreign-keys&gt;&lt;key app="EN" db-id="zd922rvvwxa999e0xv0xf2002p9zw2ztxawe" timestamp="1550244708"&gt;19&lt;/key&gt;&lt;/foreign-keys&gt;&lt;ref-type name="Journal Article"&gt;17&lt;/ref-type&gt;&lt;contributors&gt;&lt;authors&gt;&lt;author&gt;Thombs, B. D.&lt;/author&gt;&lt;author&gt;Bass, E. B.&lt;/author&gt;&lt;author&gt;Ford, D. E.&lt;/author&gt;&lt;author&gt;Stewart, K. J.&lt;/author&gt;&lt;author&gt;Tsilidis, K. K.&lt;/author&gt;&lt;author&gt;Patel, U.&lt;/author&gt;&lt;author&gt;Fauerbach, J. A.&lt;/author&gt;&lt;author&gt;Bush, D. E.&lt;/author&gt;&lt;author&gt;Ziegelstein, R. C.&lt;/author&gt;&lt;/authors&gt;&lt;/contributors&gt;&lt;auth-address&gt;Johns Hopkins University Evidence-based Practice Center, Johns Hopkins University School of Medicine, Baltimore, Md, USA.&lt;/auth-address&gt;&lt;titles&gt;&lt;title&gt;Prevalence of depression in survivors of acute myocardial infarction&lt;/title&gt;&lt;secondary-title&gt;J Gen Intern Med&lt;/secondary-title&gt;&lt;alt-title&gt;Journal of general internal medicine&lt;/alt-title&gt;&lt;/titles&gt;&lt;periodical&gt;&lt;full-title&gt;J Gen Intern Med&lt;/full-title&gt;&lt;abbr-1&gt;Journal of general internal medicine&lt;/abbr-1&gt;&lt;/periodical&gt;&lt;alt-periodical&gt;&lt;full-title&gt;J Gen Intern Med&lt;/full-title&gt;&lt;abbr-1&gt;Journal of general internal medicine&lt;/abbr-1&gt;&lt;/alt-periodical&gt;&lt;pages&gt;30-8&lt;/pages&gt;&lt;volume&gt;21&lt;/volume&gt;&lt;number&gt;1&lt;/number&gt;&lt;edition&gt;2006/01/21&lt;/edition&gt;&lt;keywords&gt;&lt;keyword&gt;Depressive Disorder/diagnosis/epidemiology/*etiology&lt;/keyword&gt;&lt;keyword&gt;Hospitalization&lt;/keyword&gt;&lt;keyword&gt;Humans&lt;/keyword&gt;&lt;keyword&gt;Myocardial Infarction/complications/*psychology&lt;/keyword&gt;&lt;keyword&gt;Prevalence&lt;/keyword&gt;&lt;/keywords&gt;&lt;dates&gt;&lt;year&gt;2006&lt;/year&gt;&lt;pub-dates&gt;&lt;date&gt;Jan&lt;/date&gt;&lt;/pub-dates&gt;&lt;/dates&gt;&lt;isbn&gt;0884-8734&lt;/isbn&gt;&lt;accession-num&gt;16423120&lt;/accession-num&gt;&lt;urls&gt;&lt;/urls&gt;&lt;custom2&gt;Pmc1484630&lt;/custom2&gt;&lt;electronic-resource-num&gt;10.1111/j.1525-1497.2005.00269.x&lt;/electronic-resource-num&gt;&lt;remote-database-provider&gt;NLM&lt;/remote-database-provider&gt;&lt;language&gt;eng&lt;/language&gt;&lt;/record&gt;&lt;/Cite&gt;&lt;/EndNote&gt;</w:instrText>
      </w:r>
      <w:r w:rsidR="008D1678">
        <w:fldChar w:fldCharType="separate"/>
      </w:r>
      <w:r w:rsidR="00315143">
        <w:rPr>
          <w:noProof/>
        </w:rPr>
        <w:t>[19]</w:t>
      </w:r>
      <w:r w:rsidR="008D1678">
        <w:fldChar w:fldCharType="end"/>
      </w:r>
      <w:r w:rsidR="00E87020">
        <w:t>.</w:t>
      </w:r>
      <w:r w:rsidRPr="00B6556B">
        <w:t xml:space="preserve"> </w:t>
      </w:r>
      <w:r>
        <w:t>Left</w:t>
      </w:r>
      <w:r w:rsidRPr="00B6556B">
        <w:t xml:space="preserve"> untreated</w:t>
      </w:r>
      <w:r>
        <w:t>,</w:t>
      </w:r>
      <w:r w:rsidRPr="00B6556B">
        <w:t xml:space="preserve"> anxiety </w:t>
      </w:r>
      <w:r>
        <w:t>can</w:t>
      </w:r>
      <w:r w:rsidRPr="00B6556B">
        <w:t xml:space="preserve"> increase the risk of cardiac events</w:t>
      </w:r>
      <w:r>
        <w:t>. It is, therefore, advisable that strategies be devised</w:t>
      </w:r>
      <w:r w:rsidRPr="00B6556B">
        <w:t xml:space="preserve"> </w:t>
      </w:r>
      <w:r>
        <w:t>to lessen</w:t>
      </w:r>
      <w:r w:rsidRPr="00B6556B">
        <w:t xml:space="preserve"> anxiety level</w:t>
      </w:r>
      <w:r>
        <w:t>s and as such</w:t>
      </w:r>
      <w:r w:rsidRPr="00B6556B">
        <w:t xml:space="preserve"> prevent complications in</w:t>
      </w:r>
      <w:r>
        <w:t xml:space="preserve"> this group of patients.</w:t>
      </w:r>
      <w:r w:rsidRPr="00B6556B">
        <w:t xml:space="preserve"> </w:t>
      </w:r>
    </w:p>
    <w:p w:rsidR="00C67C68" w:rsidRDefault="00C67C68" w:rsidP="00C67C68">
      <w:pPr>
        <w:bidi w:val="0"/>
        <w:jc w:val="both"/>
      </w:pPr>
    </w:p>
    <w:p w:rsidR="009100A9" w:rsidRDefault="009100A9">
      <w:pPr>
        <w:bidi w:val="0"/>
        <w:spacing w:after="160" w:line="259" w:lineRule="auto"/>
        <w:rPr>
          <w:b/>
          <w:bCs/>
        </w:rPr>
      </w:pPr>
      <w:r>
        <w:rPr>
          <w:b/>
          <w:bCs/>
        </w:rPr>
        <w:br w:type="page"/>
      </w:r>
    </w:p>
    <w:p w:rsidR="00C67C68" w:rsidRPr="00E72A00" w:rsidRDefault="00C67C68" w:rsidP="00C67C68">
      <w:pPr>
        <w:bidi w:val="0"/>
        <w:jc w:val="both"/>
        <w:rPr>
          <w:b/>
          <w:bCs/>
        </w:rPr>
      </w:pPr>
      <w:r w:rsidRPr="00E72A00">
        <w:rPr>
          <w:b/>
          <w:bCs/>
        </w:rPr>
        <w:lastRenderedPageBreak/>
        <w:t>CONCLUSIONS</w:t>
      </w:r>
    </w:p>
    <w:p w:rsidR="00C67C68" w:rsidRDefault="00C67C68" w:rsidP="00C67C68">
      <w:pPr>
        <w:bidi w:val="0"/>
        <w:ind w:firstLine="720"/>
        <w:jc w:val="both"/>
      </w:pPr>
    </w:p>
    <w:p w:rsidR="00C67C68" w:rsidRDefault="00C67C68" w:rsidP="00C67C68">
      <w:pPr>
        <w:bidi w:val="0"/>
        <w:ind w:firstLine="720"/>
        <w:jc w:val="both"/>
      </w:pPr>
    </w:p>
    <w:p w:rsidR="00C67C68" w:rsidRPr="00B6556B" w:rsidRDefault="00C67C68" w:rsidP="009100A9">
      <w:pPr>
        <w:bidi w:val="0"/>
        <w:spacing w:line="480" w:lineRule="auto"/>
        <w:ind w:firstLine="720"/>
        <w:jc w:val="both"/>
      </w:pPr>
      <w:r w:rsidRPr="00B6556B">
        <w:t>The results of th</w:t>
      </w:r>
      <w:r>
        <w:t>e present</w:t>
      </w:r>
      <w:r w:rsidRPr="00B6556B">
        <w:t xml:space="preserve"> study indicated that showing</w:t>
      </w:r>
      <w:r>
        <w:t xml:space="preserve"> patients a video of their angioplasty procedure alleviated their anxiety level; it can, therefore, be considered </w:t>
      </w:r>
      <w:r w:rsidRPr="00B6556B">
        <w:t xml:space="preserve">a novel inexpensive method </w:t>
      </w:r>
      <w:r>
        <w:t>for the reduction of</w:t>
      </w:r>
      <w:r w:rsidRPr="00B6556B">
        <w:t xml:space="preserve"> further anxiety-related complications. However</w:t>
      </w:r>
      <w:r>
        <w:t>,</w:t>
      </w:r>
      <w:r w:rsidRPr="00B6556B">
        <w:t xml:space="preserve"> further </w:t>
      </w:r>
      <w:r>
        <w:t xml:space="preserve">investigations with </w:t>
      </w:r>
      <w:r w:rsidRPr="00B6556B">
        <w:t>larger sample size</w:t>
      </w:r>
      <w:r>
        <w:t>s</w:t>
      </w:r>
      <w:r w:rsidRPr="00B6556B">
        <w:t xml:space="preserve"> </w:t>
      </w:r>
      <w:r>
        <w:t>and</w:t>
      </w:r>
      <w:r w:rsidRPr="00B6556B">
        <w:t xml:space="preserve"> long</w:t>
      </w:r>
      <w:r>
        <w:t>er</w:t>
      </w:r>
      <w:r w:rsidRPr="00B6556B">
        <w:t>-term follow</w:t>
      </w:r>
      <w:r>
        <w:t>-</w:t>
      </w:r>
      <w:r w:rsidRPr="00B6556B">
        <w:t>up</w:t>
      </w:r>
      <w:r>
        <w:t xml:space="preserve"> periods are needed to shed sufficient light on this issue.</w:t>
      </w:r>
    </w:p>
    <w:p w:rsidR="00C67C68" w:rsidRPr="00B6556B" w:rsidRDefault="00C67C68" w:rsidP="009100A9">
      <w:pPr>
        <w:pStyle w:val="Default"/>
        <w:spacing w:line="480" w:lineRule="auto"/>
        <w:jc w:val="both"/>
      </w:pPr>
    </w:p>
    <w:p w:rsidR="00B81431" w:rsidRDefault="00C67C68" w:rsidP="00C67C68">
      <w:pPr>
        <w:pStyle w:val="Default"/>
        <w:jc w:val="both"/>
      </w:pPr>
      <w:r w:rsidRPr="00B6556B">
        <w:t xml:space="preserve"> </w:t>
      </w:r>
    </w:p>
    <w:p w:rsidR="00B81431" w:rsidRDefault="00B81431">
      <w:pPr>
        <w:bidi w:val="0"/>
        <w:spacing w:after="160" w:line="259" w:lineRule="auto"/>
        <w:rPr>
          <w:color w:val="000000"/>
          <w:lang w:bidi="ar-SA"/>
        </w:rPr>
      </w:pPr>
      <w:r>
        <w:br w:type="page"/>
      </w:r>
    </w:p>
    <w:p w:rsidR="00475BA8" w:rsidRPr="00AA23F4" w:rsidRDefault="00AA23F4" w:rsidP="00AA23F4">
      <w:pPr>
        <w:pStyle w:val="Default"/>
        <w:jc w:val="both"/>
        <w:rPr>
          <w:b/>
          <w:bCs/>
        </w:rPr>
      </w:pPr>
      <w:bookmarkStart w:id="0" w:name="_GoBack"/>
      <w:bookmarkEnd w:id="0"/>
      <w:r w:rsidRPr="00AA23F4">
        <w:rPr>
          <w:b/>
          <w:bCs/>
        </w:rPr>
        <w:lastRenderedPageBreak/>
        <w:t>Conflicts of Interest:</w:t>
      </w:r>
    </w:p>
    <w:p w:rsidR="00AA23F4" w:rsidRPr="00AA23F4" w:rsidRDefault="00AA23F4" w:rsidP="00AA23F4">
      <w:pPr>
        <w:pStyle w:val="Default"/>
        <w:jc w:val="both"/>
        <w:rPr>
          <w:b/>
          <w:bCs/>
        </w:rPr>
      </w:pPr>
      <w:r w:rsidRPr="00AA23F4">
        <w:t>None</w:t>
      </w:r>
    </w:p>
    <w:p w:rsidR="00475BA8" w:rsidRDefault="00475BA8" w:rsidP="00475BA8">
      <w:pPr>
        <w:bidi w:val="0"/>
        <w:spacing w:after="160" w:line="259" w:lineRule="auto"/>
        <w:rPr>
          <w:color w:val="000000"/>
          <w:lang w:bidi="ar-SA"/>
        </w:rPr>
      </w:pPr>
      <w:r>
        <w:br w:type="page"/>
      </w:r>
    </w:p>
    <w:p w:rsidR="00C67C68" w:rsidRPr="00B6556B" w:rsidRDefault="00C67C68" w:rsidP="00C67C68">
      <w:pPr>
        <w:pStyle w:val="Default"/>
        <w:jc w:val="both"/>
      </w:pPr>
    </w:p>
    <w:p w:rsidR="00C67C68" w:rsidRPr="008F376F" w:rsidRDefault="00C67C68" w:rsidP="00C67C68">
      <w:pPr>
        <w:pStyle w:val="Default"/>
        <w:ind w:firstLine="720"/>
        <w:jc w:val="both"/>
      </w:pPr>
    </w:p>
    <w:p w:rsidR="00C67C68" w:rsidRDefault="00C67C68" w:rsidP="00172956">
      <w:pPr>
        <w:autoSpaceDE w:val="0"/>
        <w:autoSpaceDN w:val="0"/>
        <w:bidi w:val="0"/>
        <w:adjustRightInd w:val="0"/>
        <w:rPr>
          <w:b/>
          <w:bCs/>
        </w:rPr>
      </w:pPr>
      <w:r w:rsidRPr="008F376F">
        <w:t xml:space="preserve"> </w:t>
      </w:r>
      <w:r>
        <w:rPr>
          <w:b/>
          <w:bCs/>
        </w:rPr>
        <w:t>REFERENCES</w:t>
      </w:r>
    </w:p>
    <w:p w:rsidR="00E87020" w:rsidRPr="00C06092" w:rsidRDefault="00E87020" w:rsidP="00172956">
      <w:pPr>
        <w:autoSpaceDE w:val="0"/>
        <w:autoSpaceDN w:val="0"/>
        <w:bidi w:val="0"/>
        <w:adjustRightInd w:val="0"/>
        <w:rPr>
          <w:b/>
          <w:bCs/>
        </w:rPr>
      </w:pPr>
    </w:p>
    <w:p w:rsidR="00C67C68" w:rsidRPr="00C06092" w:rsidRDefault="00C67C68" w:rsidP="00172956">
      <w:pPr>
        <w:autoSpaceDE w:val="0"/>
        <w:autoSpaceDN w:val="0"/>
        <w:bidi w:val="0"/>
        <w:adjustRightInd w:val="0"/>
        <w:rPr>
          <w:b/>
          <w:bCs/>
        </w:rPr>
      </w:pPr>
    </w:p>
    <w:p w:rsidR="00E77CFB" w:rsidRPr="00E77CFB" w:rsidRDefault="00BE4261" w:rsidP="00E77CFB">
      <w:pPr>
        <w:pStyle w:val="EndNoteBibliography"/>
        <w:spacing w:after="0"/>
        <w:rPr>
          <w:rtl/>
        </w:rPr>
      </w:pPr>
      <w:r>
        <w:rPr>
          <w:rtl/>
        </w:rPr>
        <w:fldChar w:fldCharType="begin"/>
      </w:r>
      <w:r>
        <w:rPr>
          <w:rtl/>
        </w:rPr>
        <w:instrText xml:space="preserve"> </w:instrText>
      </w:r>
      <w:r>
        <w:instrText>ADDIN EN.REFLIST</w:instrText>
      </w:r>
      <w:r>
        <w:rPr>
          <w:rtl/>
        </w:rPr>
        <w:instrText xml:space="preserve"> </w:instrText>
      </w:r>
      <w:r>
        <w:rPr>
          <w:rtl/>
        </w:rPr>
        <w:fldChar w:fldCharType="separate"/>
      </w:r>
      <w:r w:rsidR="00E77CFB" w:rsidRPr="00E77CFB">
        <w:rPr>
          <w:rtl/>
        </w:rPr>
        <w:t xml:space="preserve">1. </w:t>
      </w:r>
      <w:r w:rsidR="00E77CFB" w:rsidRPr="00E77CFB">
        <w:t xml:space="preserve">Melanie N, Nick T, Peter S, Mike R. Cardiovascular disease in Europe 2014: epidemiological update. European Heart Journal. 2014;35(42):10. </w:t>
      </w:r>
    </w:p>
    <w:p w:rsidR="00E77CFB" w:rsidRPr="00E77CFB" w:rsidRDefault="00E77CFB" w:rsidP="00E77CFB">
      <w:pPr>
        <w:pStyle w:val="EndNoteBibliography"/>
        <w:spacing w:after="0"/>
        <w:rPr>
          <w:rtl/>
        </w:rPr>
      </w:pPr>
      <w:r w:rsidRPr="00E77CFB">
        <w:rPr>
          <w:rtl/>
        </w:rPr>
        <w:t xml:space="preserve">2. </w:t>
      </w:r>
      <w:r w:rsidRPr="00E77CFB">
        <w:t xml:space="preserve">Nick T, Melanie N, Peter S, Mike R. Cardiovascular disease in Europe 2015: epidemiological update. European heart journal. 2015;36(40):2. </w:t>
      </w:r>
    </w:p>
    <w:p w:rsidR="00E77CFB" w:rsidRPr="00E77CFB" w:rsidRDefault="00E77CFB" w:rsidP="00E77CFB">
      <w:pPr>
        <w:pStyle w:val="EndNoteBibliography"/>
        <w:spacing w:after="0"/>
        <w:rPr>
          <w:rtl/>
        </w:rPr>
      </w:pPr>
      <w:r w:rsidRPr="00E77CFB">
        <w:rPr>
          <w:rtl/>
        </w:rPr>
        <w:t xml:space="preserve">3. </w:t>
      </w:r>
      <w:r w:rsidRPr="00E77CFB">
        <w:t xml:space="preserve">Jadeja PN, A GT. Estimating deaths from cardiovascular disease: a review of global methodologies of mortality measurement. Circulation. 2013;127(6):7. </w:t>
      </w:r>
    </w:p>
    <w:p w:rsidR="00E77CFB" w:rsidRPr="00E77CFB" w:rsidRDefault="00E77CFB" w:rsidP="00E77CFB">
      <w:pPr>
        <w:pStyle w:val="EndNoteBibliography"/>
        <w:spacing w:after="0"/>
        <w:rPr>
          <w:rtl/>
        </w:rPr>
      </w:pPr>
      <w:r w:rsidRPr="00E77CFB">
        <w:rPr>
          <w:rtl/>
        </w:rPr>
        <w:t xml:space="preserve">4. </w:t>
      </w:r>
      <w:r w:rsidRPr="00E77CFB">
        <w:t xml:space="preserve">V RS, G CM, E KD, F BO, C GI. The transradial approach to percutaneous coronary intervention: historical perspective, current concepts, and future directions. Journal of the American College of Cardiology. 2010;55(20):9. </w:t>
      </w:r>
    </w:p>
    <w:p w:rsidR="00E77CFB" w:rsidRPr="00E77CFB" w:rsidRDefault="00E77CFB" w:rsidP="00E77CFB">
      <w:pPr>
        <w:pStyle w:val="EndNoteBibliography"/>
        <w:spacing w:after="0"/>
        <w:rPr>
          <w:rtl/>
        </w:rPr>
      </w:pPr>
      <w:r w:rsidRPr="00E77CFB">
        <w:rPr>
          <w:rtl/>
        </w:rPr>
        <w:t xml:space="preserve">5. </w:t>
      </w:r>
      <w:r w:rsidRPr="00E77CFB">
        <w:t xml:space="preserve">Sumeet S, D PE, David D, Laine T, C MJ, Ying X et al. Temporal trends in and factors associated with bleeding complications among patients undergoing percutaneous coronary intervention: a report from the National Cardiovascular Data CathPCI Registry. J Am Coll Cardiol. 2012;59(21):9. </w:t>
      </w:r>
    </w:p>
    <w:p w:rsidR="00E77CFB" w:rsidRPr="00E77CFB" w:rsidRDefault="00E77CFB" w:rsidP="00E77CFB">
      <w:pPr>
        <w:pStyle w:val="EndNoteBibliography"/>
        <w:spacing w:after="0"/>
        <w:rPr>
          <w:rtl/>
        </w:rPr>
      </w:pPr>
      <w:r w:rsidRPr="00E77CFB">
        <w:rPr>
          <w:rtl/>
        </w:rPr>
        <w:t xml:space="preserve">6. </w:t>
      </w:r>
      <w:r w:rsidRPr="00E77CFB">
        <w:t xml:space="preserve">P MS, P AA, A HJ, F KK, A SJ, V RS et al. Association between use of bleeding avoidance strategies and risk of periprocedural bleeding among patients undergoing percutaneous coronary intervention. JAMA. 2010;303(21):9. </w:t>
      </w:r>
    </w:p>
    <w:p w:rsidR="00E77CFB" w:rsidRPr="00E77CFB" w:rsidRDefault="00E77CFB" w:rsidP="00E77CFB">
      <w:pPr>
        <w:pStyle w:val="EndNoteBibliography"/>
        <w:spacing w:after="0"/>
        <w:rPr>
          <w:rtl/>
        </w:rPr>
      </w:pPr>
      <w:r w:rsidRPr="00E77CFB">
        <w:rPr>
          <w:rtl/>
        </w:rPr>
        <w:t xml:space="preserve">7. </w:t>
      </w:r>
      <w:r w:rsidRPr="00E77CFB">
        <w:t xml:space="preserve">Roberto L-F, E HD, J LA, H PE, G HS, G CM et al. Culture and the anxiety disorders: recommendations for DSM-V. Depression and anxiety. 2010;27(2):9. </w:t>
      </w:r>
    </w:p>
    <w:p w:rsidR="00E77CFB" w:rsidRPr="00E77CFB" w:rsidRDefault="00E77CFB" w:rsidP="00E77CFB">
      <w:pPr>
        <w:pStyle w:val="EndNoteBibliography"/>
        <w:spacing w:after="0"/>
        <w:rPr>
          <w:rtl/>
        </w:rPr>
      </w:pPr>
      <w:r w:rsidRPr="00E77CFB">
        <w:rPr>
          <w:rtl/>
        </w:rPr>
        <w:t xml:space="preserve">8. </w:t>
      </w:r>
      <w:r w:rsidRPr="00E77CFB">
        <w:t xml:space="preserve">C HJ, M CC, L JJ. The relationship between depression, anxiety, and cardiovascular outcomes in patients with acute coronary syndromes. Neuropsychiatric disease and treatment. 2010;6:14. </w:t>
      </w:r>
    </w:p>
    <w:p w:rsidR="00E77CFB" w:rsidRPr="00E77CFB" w:rsidRDefault="00E77CFB" w:rsidP="00E77CFB">
      <w:pPr>
        <w:pStyle w:val="EndNoteBibliography"/>
        <w:spacing w:after="0"/>
        <w:rPr>
          <w:rtl/>
        </w:rPr>
      </w:pPr>
      <w:r w:rsidRPr="00E77CFB">
        <w:rPr>
          <w:rtl/>
        </w:rPr>
        <w:t xml:space="preserve">9. </w:t>
      </w:r>
      <w:r w:rsidRPr="00E77CFB">
        <w:t>Hossein</w:t>
      </w:r>
      <w:r w:rsidRPr="00E77CFB">
        <w:rPr>
          <w:rtl/>
        </w:rPr>
        <w:t xml:space="preserve"> </w:t>
      </w:r>
      <w:r w:rsidRPr="00E77CFB">
        <w:t xml:space="preserve">K, Sadat MA. Psychometric properties of the Persian version of Beck Anxiety Inventory (BAI). Tehran University Medical Journal. 2008;66(2):5. </w:t>
      </w:r>
    </w:p>
    <w:p w:rsidR="00E77CFB" w:rsidRPr="00E77CFB" w:rsidRDefault="00E77CFB" w:rsidP="00E77CFB">
      <w:pPr>
        <w:pStyle w:val="EndNoteBibliography"/>
        <w:spacing w:after="0"/>
        <w:rPr>
          <w:rtl/>
        </w:rPr>
      </w:pPr>
      <w:r w:rsidRPr="00E77CFB">
        <w:rPr>
          <w:rtl/>
        </w:rPr>
        <w:t xml:space="preserve">10. </w:t>
      </w:r>
      <w:r w:rsidRPr="00E77CFB">
        <w:t xml:space="preserve">Saeideh B, Ali BM. Reliability and validity of a Farsi version of the brief illness perception questionnaire. Procedia-Social and Behavioral Sciences. 2010;5:4. </w:t>
      </w:r>
    </w:p>
    <w:p w:rsidR="00E77CFB" w:rsidRPr="00E77CFB" w:rsidRDefault="00E77CFB" w:rsidP="00E77CFB">
      <w:pPr>
        <w:pStyle w:val="EndNoteBibliography"/>
        <w:spacing w:after="0"/>
        <w:rPr>
          <w:rtl/>
        </w:rPr>
      </w:pPr>
      <w:r w:rsidRPr="00E77CFB">
        <w:rPr>
          <w:rtl/>
        </w:rPr>
        <w:t xml:space="preserve">11. </w:t>
      </w:r>
      <w:r w:rsidRPr="00E77CFB">
        <w:t xml:space="preserve">Ying ZP. Study of Anxiety/Depression in Patients with Coronary Heart Disease After Percutaneous Coronary Intervention. Cell biochemistry and biophysics. 2015;72(2):5. </w:t>
      </w:r>
    </w:p>
    <w:p w:rsidR="00E77CFB" w:rsidRPr="00E77CFB" w:rsidRDefault="00E77CFB" w:rsidP="00E77CFB">
      <w:pPr>
        <w:pStyle w:val="EndNoteBibliography"/>
        <w:spacing w:after="0"/>
        <w:rPr>
          <w:rtl/>
        </w:rPr>
      </w:pPr>
      <w:r w:rsidRPr="00E77CFB">
        <w:rPr>
          <w:rtl/>
        </w:rPr>
        <w:t xml:space="preserve">12. </w:t>
      </w:r>
      <w:r w:rsidRPr="00E77CFB">
        <w:t>Robyn G, Renee T, Judith</w:t>
      </w:r>
      <w:r w:rsidRPr="00E77CFB">
        <w:rPr>
          <w:rtl/>
        </w:rPr>
        <w:t xml:space="preserve"> </w:t>
      </w:r>
      <w:r w:rsidRPr="00E77CFB">
        <w:t xml:space="preserve">D. Preprocedural concerns and anxiety assessment in patients undergoing coronary angiography and percutaneous coronary interventions. European journal of cardiovascular nursing. 2010;9(1):7. </w:t>
      </w:r>
    </w:p>
    <w:p w:rsidR="00E77CFB" w:rsidRPr="00E77CFB" w:rsidRDefault="00E77CFB" w:rsidP="00E77CFB">
      <w:pPr>
        <w:pStyle w:val="EndNoteBibliography"/>
        <w:spacing w:after="0"/>
        <w:rPr>
          <w:rtl/>
        </w:rPr>
      </w:pPr>
      <w:r w:rsidRPr="00E77CFB">
        <w:rPr>
          <w:rtl/>
        </w:rPr>
        <w:t xml:space="preserve">13. </w:t>
      </w:r>
      <w:r w:rsidRPr="00E77CFB">
        <w:t>Thomas M, Ulrich B, Christoph H-L. Role of cardiac disease</w:t>
      </w:r>
      <w:r w:rsidRPr="00E77CFB">
        <w:rPr>
          <w:rtl/>
        </w:rPr>
        <w:t xml:space="preserve"> </w:t>
      </w:r>
      <w:r w:rsidRPr="00E77CFB">
        <w:t xml:space="preserve">severity in the predictive value of anxiety for all cause mortality. Psychosomatic Medicine. 2010;72(1):7. </w:t>
      </w:r>
    </w:p>
    <w:p w:rsidR="00E77CFB" w:rsidRPr="00E77CFB" w:rsidRDefault="00E77CFB" w:rsidP="00E77CFB">
      <w:pPr>
        <w:pStyle w:val="EndNoteBibliography"/>
        <w:spacing w:after="0"/>
        <w:rPr>
          <w:rtl/>
        </w:rPr>
      </w:pPr>
      <w:r w:rsidRPr="00E77CFB">
        <w:rPr>
          <w:rtl/>
        </w:rPr>
        <w:t xml:space="preserve">14. </w:t>
      </w:r>
      <w:r w:rsidRPr="00E77CFB">
        <w:t>Suprakash C, Kalpana S. Relation of depression, anxiety, and quality of life with outcome after percutaneous transluminal coronary angioplasty</w:t>
      </w:r>
      <w:r w:rsidRPr="00E77CFB">
        <w:rPr>
          <w:rtl/>
        </w:rPr>
        <w:t xml:space="preserve">. </w:t>
      </w:r>
      <w:r w:rsidRPr="00E77CFB">
        <w:t xml:space="preserve">The Scientific World Journal. 2013;2013:5. </w:t>
      </w:r>
    </w:p>
    <w:p w:rsidR="00E77CFB" w:rsidRPr="00E77CFB" w:rsidRDefault="00E77CFB" w:rsidP="00E77CFB">
      <w:pPr>
        <w:pStyle w:val="EndNoteBibliography"/>
        <w:spacing w:after="0"/>
        <w:rPr>
          <w:rtl/>
        </w:rPr>
      </w:pPr>
      <w:r w:rsidRPr="00E77CFB">
        <w:rPr>
          <w:rtl/>
        </w:rPr>
        <w:t xml:space="preserve">15. </w:t>
      </w:r>
      <w:r w:rsidRPr="00E77CFB">
        <w:t xml:space="preserve">Farkhondeh S, Fariba M, Zahra M, Majid NK, Mehrdad V. The effects of discharge plan on stress, anxiety and depression in patients undergoing percutaneous transluminal coronary angioplasty: a randomized controlled trial. International journal of community based nursing and midwifery. 2014;2(2):9. </w:t>
      </w:r>
    </w:p>
    <w:p w:rsidR="00E77CFB" w:rsidRPr="00E77CFB" w:rsidRDefault="00E77CFB" w:rsidP="00E77CFB">
      <w:pPr>
        <w:pStyle w:val="EndNoteBibliography"/>
        <w:spacing w:after="0"/>
        <w:rPr>
          <w:rtl/>
        </w:rPr>
      </w:pPr>
      <w:r w:rsidRPr="00E77CFB">
        <w:rPr>
          <w:rtl/>
        </w:rPr>
        <w:t xml:space="preserve">16. </w:t>
      </w:r>
      <w:r w:rsidRPr="00E77CFB">
        <w:t xml:space="preserve">Cengiz B, Feyzullah B, Mesut K, Osman K, Yasin T. The effect of audio-visual education prior to coronary angiography on the state anxiety. Clinical case reports and reviews. 2015;1(8):3. </w:t>
      </w:r>
    </w:p>
    <w:p w:rsidR="00E77CFB" w:rsidRPr="00E77CFB" w:rsidRDefault="00E77CFB" w:rsidP="00E77CFB">
      <w:pPr>
        <w:pStyle w:val="EndNoteBibliography"/>
        <w:spacing w:after="0"/>
        <w:rPr>
          <w:rtl/>
        </w:rPr>
      </w:pPr>
      <w:r w:rsidRPr="00E77CFB">
        <w:rPr>
          <w:rtl/>
        </w:rPr>
        <w:lastRenderedPageBreak/>
        <w:t xml:space="preserve">17. </w:t>
      </w:r>
      <w:r w:rsidRPr="00E77CFB">
        <w:t xml:space="preserve">Shiloh S, Arie S, Erga D, Shira P, Yigal A, Shmuel B et al. Effect of guidance during cardiac catheterization on emotional, cognitive and behavioral outcomes. Journal of cardiovascular medicine 2014;15(4):7. </w:t>
      </w:r>
    </w:p>
    <w:p w:rsidR="00E77CFB" w:rsidRPr="00E77CFB" w:rsidRDefault="00E77CFB" w:rsidP="00E77CFB">
      <w:pPr>
        <w:pStyle w:val="EndNoteBibliography"/>
        <w:spacing w:after="0"/>
        <w:rPr>
          <w:rtl/>
        </w:rPr>
      </w:pPr>
      <w:r w:rsidRPr="00E77CFB">
        <w:rPr>
          <w:rtl/>
        </w:rPr>
        <w:t xml:space="preserve">18. </w:t>
      </w:r>
      <w:r w:rsidRPr="00E77CFB">
        <w:t>C R, E V</w:t>
      </w:r>
      <w:r w:rsidRPr="00E77CFB">
        <w:rPr>
          <w:rtl/>
        </w:rPr>
        <w:t xml:space="preserve">, </w:t>
      </w:r>
      <w:r w:rsidRPr="00E77CFB">
        <w:t xml:space="preserve">G R. Effectiveness of an informative video on reducing anxiety levels in patients undergoing elective coronarography: an RCT. European journal of cardiovascular nursing 2009;8:5. </w:t>
      </w:r>
    </w:p>
    <w:p w:rsidR="00E77CFB" w:rsidRPr="00E77CFB" w:rsidRDefault="00E77CFB" w:rsidP="00E77CFB">
      <w:pPr>
        <w:pStyle w:val="EndNoteBibliography"/>
        <w:rPr>
          <w:rtl/>
        </w:rPr>
      </w:pPr>
      <w:r w:rsidRPr="00E77CFB">
        <w:rPr>
          <w:rtl/>
        </w:rPr>
        <w:t xml:space="preserve">19. </w:t>
      </w:r>
      <w:r w:rsidRPr="00E77CFB">
        <w:t>Thombs BD, Bass EB, Ford DE, Stewart KJ, Tsilidis KK, Patel U et al. Prevalence of depression in survivors of acute myocardial infarction. Journal of general internal medicine. 2006;21(1):30-8. doi:10.1111/j.1525-1497.2005.00269.x.</w:t>
      </w:r>
    </w:p>
    <w:p w:rsidR="00F4582E" w:rsidRDefault="00BE4261" w:rsidP="00E77CFB">
      <w:pPr>
        <w:bidi w:val="0"/>
        <w:rPr>
          <w:rtl/>
        </w:rPr>
      </w:pPr>
      <w:r>
        <w:rPr>
          <w:rtl/>
        </w:rPr>
        <w:fldChar w:fldCharType="end"/>
      </w:r>
    </w:p>
    <w:p w:rsidR="00F4582E" w:rsidRDefault="00F4582E">
      <w:pPr>
        <w:bidi w:val="0"/>
        <w:spacing w:after="160" w:line="259" w:lineRule="auto"/>
        <w:rPr>
          <w:rtl/>
        </w:rPr>
      </w:pPr>
      <w:r>
        <w:rPr>
          <w:rtl/>
        </w:rPr>
        <w:br w:type="page"/>
      </w:r>
    </w:p>
    <w:tbl>
      <w:tblPr>
        <w:tblStyle w:val="TableGrid"/>
        <w:tblW w:w="9468" w:type="dxa"/>
        <w:tblLayout w:type="fixed"/>
        <w:tblLook w:val="04A0" w:firstRow="1" w:lastRow="0" w:firstColumn="1" w:lastColumn="0" w:noHBand="0" w:noVBand="1"/>
      </w:tblPr>
      <w:tblGrid>
        <w:gridCol w:w="2098"/>
        <w:gridCol w:w="1075"/>
        <w:gridCol w:w="1023"/>
        <w:gridCol w:w="777"/>
        <w:gridCol w:w="1321"/>
        <w:gridCol w:w="479"/>
        <w:gridCol w:w="1620"/>
        <w:gridCol w:w="1075"/>
      </w:tblGrid>
      <w:tr w:rsidR="00F4582E" w:rsidRPr="000F7B47" w:rsidTr="000A050A">
        <w:tc>
          <w:tcPr>
            <w:tcW w:w="9468" w:type="dxa"/>
            <w:gridSpan w:val="8"/>
            <w:tcBorders>
              <w:top w:val="nil"/>
              <w:left w:val="nil"/>
              <w:bottom w:val="single" w:sz="12" w:space="0" w:color="auto"/>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b/>
                <w:bCs/>
                <w:sz w:val="20"/>
                <w:szCs w:val="20"/>
              </w:rPr>
              <w:lastRenderedPageBreak/>
              <w:t>Table 1-</w:t>
            </w:r>
            <w:r w:rsidRPr="000F7B47">
              <w:rPr>
                <w:rFonts w:asciiTheme="majorBidi" w:hAnsiTheme="majorBidi" w:cstheme="majorBidi"/>
                <w:sz w:val="20"/>
                <w:szCs w:val="20"/>
              </w:rPr>
              <w:t xml:space="preserve"> Demographic characteristics of patients admitted for elective percutaneous coronary intervention in case and control groups</w:t>
            </w:r>
          </w:p>
        </w:tc>
      </w:tr>
      <w:tr w:rsidR="00F4582E" w:rsidRPr="000F7B47" w:rsidTr="000A050A">
        <w:tc>
          <w:tcPr>
            <w:tcW w:w="3173" w:type="dxa"/>
            <w:gridSpan w:val="2"/>
            <w:tcBorders>
              <w:top w:val="single" w:sz="12" w:space="0" w:color="auto"/>
              <w:left w:val="nil"/>
              <w:bottom w:val="single" w:sz="12" w:space="0" w:color="auto"/>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Variable</w:t>
            </w:r>
          </w:p>
        </w:tc>
        <w:tc>
          <w:tcPr>
            <w:tcW w:w="1800" w:type="dxa"/>
            <w:gridSpan w:val="2"/>
            <w:tcBorders>
              <w:top w:val="single" w:sz="12" w:space="0" w:color="auto"/>
              <w:left w:val="nil"/>
              <w:bottom w:val="single" w:sz="12" w:space="0" w:color="auto"/>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Case Group</w:t>
            </w:r>
          </w:p>
        </w:tc>
        <w:tc>
          <w:tcPr>
            <w:tcW w:w="1800" w:type="dxa"/>
            <w:gridSpan w:val="2"/>
            <w:tcBorders>
              <w:top w:val="single" w:sz="12" w:space="0" w:color="auto"/>
              <w:left w:val="nil"/>
              <w:bottom w:val="single" w:sz="12" w:space="0" w:color="auto"/>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Control group</w:t>
            </w:r>
          </w:p>
        </w:tc>
        <w:tc>
          <w:tcPr>
            <w:tcW w:w="2695" w:type="dxa"/>
            <w:gridSpan w:val="2"/>
            <w:tcBorders>
              <w:top w:val="single" w:sz="12" w:space="0" w:color="auto"/>
              <w:left w:val="nil"/>
              <w:bottom w:val="single" w:sz="12" w:space="0" w:color="auto"/>
              <w:right w:val="nil"/>
            </w:tcBorders>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P Value</w:t>
            </w:r>
          </w:p>
        </w:tc>
      </w:tr>
      <w:tr w:rsidR="00F4582E" w:rsidRPr="000F7B47" w:rsidTr="000A050A">
        <w:tc>
          <w:tcPr>
            <w:tcW w:w="3173" w:type="dxa"/>
            <w:gridSpan w:val="2"/>
            <w:tcBorders>
              <w:top w:val="single" w:sz="12" w:space="0" w:color="auto"/>
              <w:left w:val="nil"/>
              <w:bottom w:val="nil"/>
              <w:right w:val="nil"/>
            </w:tcBorders>
          </w:tcPr>
          <w:p w:rsidR="00F4582E" w:rsidRPr="000F7B47" w:rsidRDefault="00F4582E" w:rsidP="000A050A">
            <w:pPr>
              <w:bidi w:val="0"/>
              <w:rPr>
                <w:rFonts w:asciiTheme="majorBidi" w:hAnsiTheme="majorBidi" w:cstheme="majorBidi"/>
                <w:sz w:val="20"/>
                <w:szCs w:val="20"/>
                <w:highlight w:val="yellow"/>
              </w:rPr>
            </w:pPr>
            <w:r w:rsidRPr="000F7B47">
              <w:rPr>
                <w:rFonts w:asciiTheme="majorBidi" w:hAnsiTheme="majorBidi" w:cstheme="majorBidi"/>
                <w:sz w:val="20"/>
                <w:szCs w:val="20"/>
              </w:rPr>
              <w:t>Age (Year)</w:t>
            </w:r>
          </w:p>
        </w:tc>
        <w:tc>
          <w:tcPr>
            <w:tcW w:w="1800" w:type="dxa"/>
            <w:gridSpan w:val="2"/>
            <w:tcBorders>
              <w:top w:val="single" w:sz="12" w:space="0" w:color="auto"/>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highlight w:val="yellow"/>
              </w:rPr>
            </w:pPr>
            <w:r w:rsidRPr="000F7B47">
              <w:rPr>
                <w:rFonts w:asciiTheme="majorBidi" w:eastAsia="Calibri" w:hAnsiTheme="majorBidi" w:cstheme="majorBidi"/>
                <w:sz w:val="20"/>
                <w:szCs w:val="20"/>
              </w:rPr>
              <w:t>56.13±10.12</w:t>
            </w:r>
          </w:p>
        </w:tc>
        <w:tc>
          <w:tcPr>
            <w:tcW w:w="1800" w:type="dxa"/>
            <w:gridSpan w:val="2"/>
            <w:tcBorders>
              <w:top w:val="single" w:sz="12" w:space="0" w:color="auto"/>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highlight w:val="yellow"/>
              </w:rPr>
            </w:pPr>
            <w:r w:rsidRPr="000F7B47">
              <w:rPr>
                <w:rFonts w:asciiTheme="majorBidi" w:eastAsia="Calibri" w:hAnsiTheme="majorBidi" w:cstheme="majorBidi"/>
                <w:sz w:val="20"/>
                <w:szCs w:val="20"/>
              </w:rPr>
              <w:t>58.5±7.44</w:t>
            </w:r>
          </w:p>
        </w:tc>
        <w:tc>
          <w:tcPr>
            <w:tcW w:w="2695" w:type="dxa"/>
            <w:gridSpan w:val="2"/>
            <w:tcBorders>
              <w:top w:val="single" w:sz="12" w:space="0" w:color="auto"/>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Pr>
                <w:rFonts w:asciiTheme="majorBidi" w:hAnsiTheme="majorBidi" w:cstheme="majorBidi"/>
                <w:sz w:val="20"/>
                <w:szCs w:val="20"/>
              </w:rPr>
              <w:t xml:space="preserve"> </w:t>
            </w:r>
            <w:r w:rsidRPr="000F7B47">
              <w:rPr>
                <w:rFonts w:asciiTheme="majorBidi" w:hAnsiTheme="majorBidi" w:cstheme="majorBidi"/>
                <w:sz w:val="20"/>
                <w:szCs w:val="20"/>
              </w:rPr>
              <w:t>0.307</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Gender (Male)</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20 (66.7)</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18 (60)</w:t>
            </w:r>
          </w:p>
        </w:tc>
        <w:tc>
          <w:tcPr>
            <w:tcW w:w="2695"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0.78</w:t>
            </w:r>
          </w:p>
        </w:tc>
      </w:tr>
      <w:tr w:rsidR="00F4582E" w:rsidRPr="000F7B47" w:rsidTr="000A050A">
        <w:tc>
          <w:tcPr>
            <w:tcW w:w="2098" w:type="dxa"/>
            <w:tcBorders>
              <w:top w:val="nil"/>
              <w:left w:val="nil"/>
              <w:bottom w:val="nil"/>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Marital status</w:t>
            </w:r>
          </w:p>
        </w:tc>
        <w:tc>
          <w:tcPr>
            <w:tcW w:w="2098" w:type="dxa"/>
            <w:gridSpan w:val="2"/>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c>
          <w:tcPr>
            <w:tcW w:w="2098" w:type="dxa"/>
            <w:gridSpan w:val="2"/>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c>
          <w:tcPr>
            <w:tcW w:w="3174" w:type="dxa"/>
            <w:gridSpan w:val="3"/>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r>
              <w:rPr>
                <w:rFonts w:asciiTheme="majorBidi" w:hAnsiTheme="majorBidi" w:cstheme="majorBidi"/>
                <w:sz w:val="20"/>
                <w:szCs w:val="20"/>
              </w:rPr>
              <w:t xml:space="preserve">          </w:t>
            </w:r>
            <w:r w:rsidRPr="000F7B47">
              <w:rPr>
                <w:rFonts w:asciiTheme="majorBidi" w:hAnsiTheme="majorBidi" w:cstheme="majorBidi"/>
                <w:sz w:val="20"/>
                <w:szCs w:val="20"/>
              </w:rPr>
              <w:t>0.55</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single</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 (6.7)</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 (3.3)</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married</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28 (93.3)</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29 (96.7)</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Pr>
                <w:rFonts w:asciiTheme="majorBidi" w:hAnsiTheme="majorBidi" w:cstheme="majorBidi"/>
                <w:sz w:val="20"/>
                <w:szCs w:val="20"/>
              </w:rPr>
              <w:t xml:space="preserve"> </w:t>
            </w: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2098" w:type="dxa"/>
            <w:tcBorders>
              <w:top w:val="nil"/>
              <w:left w:val="nil"/>
              <w:bottom w:val="nil"/>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Education (years)</w:t>
            </w:r>
          </w:p>
        </w:tc>
        <w:tc>
          <w:tcPr>
            <w:tcW w:w="2098" w:type="dxa"/>
            <w:gridSpan w:val="2"/>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c>
          <w:tcPr>
            <w:tcW w:w="2098" w:type="dxa"/>
            <w:gridSpan w:val="2"/>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c>
          <w:tcPr>
            <w:tcW w:w="3174" w:type="dxa"/>
            <w:gridSpan w:val="3"/>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r>
              <w:rPr>
                <w:rFonts w:asciiTheme="majorBidi" w:hAnsiTheme="majorBidi" w:cstheme="majorBidi"/>
                <w:sz w:val="20"/>
                <w:szCs w:val="20"/>
              </w:rPr>
              <w:t xml:space="preserve">         </w:t>
            </w:r>
            <w:r w:rsidRPr="000F7B47">
              <w:rPr>
                <w:rFonts w:asciiTheme="majorBidi" w:hAnsiTheme="majorBidi" w:cstheme="majorBidi"/>
                <w:sz w:val="20"/>
                <w:szCs w:val="20"/>
              </w:rPr>
              <w:t>0.67</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 xml:space="preserve">&gt;12 </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16 (53.3)</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14 (46.7)</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12-16</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12 (40)</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15 (50)</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≥16</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 (6.7)</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 (3.3)</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2098" w:type="dxa"/>
            <w:tcBorders>
              <w:top w:val="nil"/>
              <w:left w:val="nil"/>
              <w:bottom w:val="nil"/>
              <w:right w:val="nil"/>
            </w:tcBorders>
          </w:tcPr>
          <w:p w:rsidR="00F4582E" w:rsidRPr="000F7B47" w:rsidRDefault="00F4582E" w:rsidP="000A050A">
            <w:pPr>
              <w:tabs>
                <w:tab w:val="right" w:pos="8177"/>
              </w:tabs>
              <w:bidi w:val="0"/>
              <w:rPr>
                <w:rFonts w:asciiTheme="majorBidi" w:hAnsiTheme="majorBidi" w:cstheme="majorBidi"/>
                <w:sz w:val="20"/>
                <w:szCs w:val="20"/>
              </w:rPr>
            </w:pPr>
            <w:r w:rsidRPr="000F7B47">
              <w:rPr>
                <w:rFonts w:asciiTheme="majorBidi" w:hAnsiTheme="majorBidi" w:cstheme="majorBidi"/>
                <w:sz w:val="20"/>
                <w:szCs w:val="20"/>
              </w:rPr>
              <w:t>Residence</w:t>
            </w:r>
            <w:r w:rsidRPr="000F7B47">
              <w:rPr>
                <w:rFonts w:asciiTheme="majorBidi" w:hAnsiTheme="majorBidi" w:cstheme="majorBidi"/>
                <w:sz w:val="20"/>
                <w:szCs w:val="20"/>
              </w:rPr>
              <w:tab/>
            </w:r>
          </w:p>
        </w:tc>
        <w:tc>
          <w:tcPr>
            <w:tcW w:w="2098" w:type="dxa"/>
            <w:gridSpan w:val="2"/>
            <w:tcBorders>
              <w:top w:val="nil"/>
              <w:left w:val="nil"/>
              <w:bottom w:val="nil"/>
              <w:right w:val="nil"/>
            </w:tcBorders>
          </w:tcPr>
          <w:p w:rsidR="00F4582E" w:rsidRPr="000F7B47" w:rsidRDefault="00F4582E" w:rsidP="000A050A">
            <w:pPr>
              <w:tabs>
                <w:tab w:val="right" w:pos="8177"/>
              </w:tabs>
              <w:bidi w:val="0"/>
              <w:jc w:val="center"/>
              <w:rPr>
                <w:rFonts w:asciiTheme="majorBidi" w:hAnsiTheme="majorBidi" w:cstheme="majorBidi"/>
                <w:sz w:val="20"/>
                <w:szCs w:val="20"/>
              </w:rPr>
            </w:pPr>
          </w:p>
        </w:tc>
        <w:tc>
          <w:tcPr>
            <w:tcW w:w="2098" w:type="dxa"/>
            <w:gridSpan w:val="2"/>
            <w:tcBorders>
              <w:top w:val="nil"/>
              <w:left w:val="nil"/>
              <w:bottom w:val="nil"/>
              <w:right w:val="nil"/>
            </w:tcBorders>
          </w:tcPr>
          <w:p w:rsidR="00F4582E" w:rsidRPr="000F7B47" w:rsidRDefault="00F4582E" w:rsidP="000A050A">
            <w:pPr>
              <w:tabs>
                <w:tab w:val="right" w:pos="8177"/>
              </w:tabs>
              <w:bidi w:val="0"/>
              <w:jc w:val="center"/>
              <w:rPr>
                <w:rFonts w:asciiTheme="majorBidi" w:hAnsiTheme="majorBidi" w:cstheme="majorBidi"/>
                <w:sz w:val="20"/>
                <w:szCs w:val="20"/>
              </w:rPr>
            </w:pPr>
          </w:p>
        </w:tc>
        <w:tc>
          <w:tcPr>
            <w:tcW w:w="3174" w:type="dxa"/>
            <w:gridSpan w:val="3"/>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r>
              <w:rPr>
                <w:rFonts w:asciiTheme="majorBidi" w:hAnsiTheme="majorBidi" w:cstheme="majorBidi"/>
                <w:sz w:val="20"/>
                <w:szCs w:val="20"/>
              </w:rPr>
              <w:t xml:space="preserve">        </w:t>
            </w:r>
            <w:r w:rsidRPr="000F7B47">
              <w:rPr>
                <w:rFonts w:asciiTheme="majorBidi" w:hAnsiTheme="majorBidi" w:cstheme="majorBidi"/>
                <w:sz w:val="20"/>
                <w:szCs w:val="20"/>
              </w:rPr>
              <w:t>1.0</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city</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29 (96.7)</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29 (96.7)</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ind w:left="720"/>
              <w:rPr>
                <w:rFonts w:asciiTheme="majorBidi" w:hAnsiTheme="majorBidi" w:cstheme="majorBidi"/>
                <w:sz w:val="20"/>
                <w:szCs w:val="20"/>
              </w:rPr>
            </w:pPr>
            <w:r w:rsidRPr="000F7B47">
              <w:rPr>
                <w:rFonts w:asciiTheme="majorBidi" w:hAnsiTheme="majorBidi" w:cstheme="majorBidi"/>
                <w:sz w:val="20"/>
                <w:szCs w:val="20"/>
              </w:rPr>
              <w:t>village</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 (3.3)</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1 (3.3)</w:t>
            </w:r>
          </w:p>
        </w:tc>
        <w:tc>
          <w:tcPr>
            <w:tcW w:w="1620" w:type="dxa"/>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p>
        </w:tc>
        <w:tc>
          <w:tcPr>
            <w:tcW w:w="1075" w:type="dxa"/>
            <w:tcBorders>
              <w:top w:val="nil"/>
              <w:left w:val="nil"/>
              <w:bottom w:val="nil"/>
              <w:right w:val="nil"/>
            </w:tcBorders>
          </w:tcPr>
          <w:p w:rsidR="00F4582E" w:rsidRPr="000F7B47" w:rsidRDefault="00F4582E" w:rsidP="000A050A">
            <w:pPr>
              <w:bidi w:val="0"/>
              <w:jc w:val="center"/>
              <w:rPr>
                <w:rFonts w:asciiTheme="majorBidi" w:hAnsiTheme="majorBidi" w:cstheme="majorBidi"/>
                <w:sz w:val="20"/>
                <w:szCs w:val="20"/>
              </w:rPr>
            </w:pP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jc w:val="both"/>
              <w:rPr>
                <w:rFonts w:asciiTheme="majorBidi" w:eastAsia="Calibri" w:hAnsiTheme="majorBidi" w:cstheme="majorBidi"/>
                <w:sz w:val="20"/>
                <w:szCs w:val="20"/>
              </w:rPr>
            </w:pPr>
            <w:r>
              <w:rPr>
                <w:rFonts w:asciiTheme="majorBidi" w:eastAsia="Calibri" w:hAnsiTheme="majorBidi" w:cstheme="majorBidi"/>
                <w:sz w:val="20"/>
                <w:szCs w:val="20"/>
              </w:rPr>
              <w:t>Number</w:t>
            </w:r>
            <w:r w:rsidRPr="000F7B47">
              <w:rPr>
                <w:rFonts w:asciiTheme="majorBidi" w:eastAsia="Calibri" w:hAnsiTheme="majorBidi" w:cstheme="majorBidi"/>
                <w:sz w:val="20"/>
                <w:szCs w:val="20"/>
              </w:rPr>
              <w:t xml:space="preserve"> of chest pain episodes</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eastAsia="Calibri" w:hAnsiTheme="majorBidi" w:cstheme="majorBidi"/>
                <w:sz w:val="20"/>
                <w:szCs w:val="20"/>
              </w:rPr>
            </w:pPr>
            <w:r w:rsidRPr="000F7B47">
              <w:rPr>
                <w:rFonts w:asciiTheme="majorBidi" w:eastAsia="Calibri" w:hAnsiTheme="majorBidi" w:cstheme="majorBidi"/>
                <w:sz w:val="20"/>
                <w:szCs w:val="20"/>
              </w:rPr>
              <w:t>11.4±7.82</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eastAsia="Calibri" w:hAnsiTheme="majorBidi" w:cstheme="majorBidi"/>
                <w:sz w:val="20"/>
                <w:szCs w:val="20"/>
              </w:rPr>
            </w:pPr>
            <w:r w:rsidRPr="000F7B47">
              <w:rPr>
                <w:rFonts w:asciiTheme="majorBidi" w:eastAsia="Calibri" w:hAnsiTheme="majorBidi" w:cstheme="majorBidi"/>
                <w:sz w:val="20"/>
                <w:szCs w:val="20"/>
              </w:rPr>
              <w:t>9.73±6.7</w:t>
            </w:r>
          </w:p>
        </w:tc>
        <w:tc>
          <w:tcPr>
            <w:tcW w:w="2695" w:type="dxa"/>
            <w:gridSpan w:val="2"/>
            <w:tcBorders>
              <w:top w:val="nil"/>
              <w:left w:val="nil"/>
              <w:bottom w:val="nil"/>
              <w:right w:val="nil"/>
            </w:tcBorders>
          </w:tcPr>
          <w:p w:rsidR="00F4582E" w:rsidRPr="000F7B47" w:rsidRDefault="00F4582E" w:rsidP="000A050A">
            <w:pPr>
              <w:bidi w:val="0"/>
              <w:jc w:val="both"/>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Pr="000F7B47">
              <w:rPr>
                <w:rFonts w:asciiTheme="majorBidi" w:eastAsia="Calibri" w:hAnsiTheme="majorBidi" w:cstheme="majorBidi"/>
                <w:sz w:val="20"/>
                <w:szCs w:val="20"/>
              </w:rPr>
              <w:t>0.379</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jc w:val="both"/>
              <w:rPr>
                <w:rFonts w:asciiTheme="majorBidi" w:eastAsia="Calibri" w:hAnsiTheme="majorBidi" w:cstheme="majorBidi"/>
                <w:sz w:val="20"/>
                <w:szCs w:val="20"/>
              </w:rPr>
            </w:pPr>
            <w:r>
              <w:rPr>
                <w:rFonts w:asciiTheme="majorBidi" w:eastAsia="Calibri" w:hAnsiTheme="majorBidi" w:cstheme="majorBidi"/>
                <w:sz w:val="20"/>
                <w:szCs w:val="20"/>
              </w:rPr>
              <w:t>Number</w:t>
            </w:r>
            <w:r w:rsidRPr="000F7B47">
              <w:rPr>
                <w:rFonts w:asciiTheme="majorBidi" w:eastAsia="Calibri" w:hAnsiTheme="majorBidi" w:cstheme="majorBidi"/>
                <w:sz w:val="20"/>
                <w:szCs w:val="20"/>
              </w:rPr>
              <w:t xml:space="preserve"> of palpitation episodes</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eastAsia="Calibri" w:hAnsiTheme="majorBidi" w:cstheme="majorBidi"/>
                <w:sz w:val="20"/>
                <w:szCs w:val="20"/>
              </w:rPr>
            </w:pPr>
            <w:r w:rsidRPr="000F7B47">
              <w:rPr>
                <w:rFonts w:asciiTheme="majorBidi" w:eastAsia="Calibri" w:hAnsiTheme="majorBidi" w:cstheme="majorBidi"/>
                <w:sz w:val="20"/>
                <w:szCs w:val="20"/>
              </w:rPr>
              <w:t>3.36±6.28</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eastAsia="Calibri" w:hAnsiTheme="majorBidi" w:cstheme="majorBidi"/>
                <w:sz w:val="20"/>
                <w:szCs w:val="20"/>
              </w:rPr>
            </w:pPr>
            <w:r w:rsidRPr="000F7B47">
              <w:rPr>
                <w:rFonts w:asciiTheme="majorBidi" w:eastAsia="Calibri" w:hAnsiTheme="majorBidi" w:cstheme="majorBidi"/>
                <w:sz w:val="20"/>
                <w:szCs w:val="20"/>
              </w:rPr>
              <w:t>3.33±4.44</w:t>
            </w:r>
          </w:p>
        </w:tc>
        <w:tc>
          <w:tcPr>
            <w:tcW w:w="2695" w:type="dxa"/>
            <w:gridSpan w:val="2"/>
            <w:tcBorders>
              <w:top w:val="nil"/>
              <w:left w:val="nil"/>
              <w:bottom w:val="nil"/>
              <w:right w:val="nil"/>
            </w:tcBorders>
          </w:tcPr>
          <w:p w:rsidR="00F4582E" w:rsidRPr="000F7B47" w:rsidRDefault="00F4582E" w:rsidP="000A050A">
            <w:pPr>
              <w:bidi w:val="0"/>
              <w:jc w:val="both"/>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Pr="000F7B47">
              <w:rPr>
                <w:rFonts w:asciiTheme="majorBidi" w:eastAsia="Calibri" w:hAnsiTheme="majorBidi" w:cstheme="majorBidi"/>
                <w:sz w:val="20"/>
                <w:szCs w:val="20"/>
              </w:rPr>
              <w:t>0.408</w:t>
            </w:r>
          </w:p>
        </w:tc>
      </w:tr>
      <w:tr w:rsidR="00F4582E" w:rsidRPr="000F7B47" w:rsidTr="000A050A">
        <w:tc>
          <w:tcPr>
            <w:tcW w:w="3173" w:type="dxa"/>
            <w:gridSpan w:val="2"/>
            <w:tcBorders>
              <w:top w:val="nil"/>
              <w:left w:val="nil"/>
              <w:bottom w:val="nil"/>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Family history</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8 (26.7)</w:t>
            </w:r>
          </w:p>
        </w:tc>
        <w:tc>
          <w:tcPr>
            <w:tcW w:w="1800"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5 (16.7)</w:t>
            </w:r>
          </w:p>
        </w:tc>
        <w:tc>
          <w:tcPr>
            <w:tcW w:w="2695" w:type="dxa"/>
            <w:gridSpan w:val="2"/>
            <w:tcBorders>
              <w:top w:val="nil"/>
              <w:left w:val="nil"/>
              <w:bottom w:val="nil"/>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0.347</w:t>
            </w:r>
          </w:p>
        </w:tc>
      </w:tr>
      <w:tr w:rsidR="00F4582E" w:rsidRPr="000F7B47" w:rsidTr="000A050A">
        <w:tc>
          <w:tcPr>
            <w:tcW w:w="3173" w:type="dxa"/>
            <w:gridSpan w:val="2"/>
            <w:tcBorders>
              <w:top w:val="nil"/>
              <w:left w:val="nil"/>
              <w:bottom w:val="single" w:sz="4" w:space="0" w:color="auto"/>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Underlying disease</w:t>
            </w:r>
          </w:p>
        </w:tc>
        <w:tc>
          <w:tcPr>
            <w:tcW w:w="1800" w:type="dxa"/>
            <w:gridSpan w:val="2"/>
            <w:tcBorders>
              <w:top w:val="nil"/>
              <w:left w:val="nil"/>
              <w:bottom w:val="single" w:sz="4" w:space="0" w:color="auto"/>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24 (75)</w:t>
            </w:r>
          </w:p>
        </w:tc>
        <w:tc>
          <w:tcPr>
            <w:tcW w:w="1800" w:type="dxa"/>
            <w:gridSpan w:val="2"/>
            <w:tcBorders>
              <w:top w:val="nil"/>
              <w:left w:val="nil"/>
              <w:bottom w:val="single" w:sz="4" w:space="0" w:color="auto"/>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21 (70)</w:t>
            </w:r>
          </w:p>
        </w:tc>
        <w:tc>
          <w:tcPr>
            <w:tcW w:w="2695" w:type="dxa"/>
            <w:gridSpan w:val="2"/>
            <w:tcBorders>
              <w:top w:val="nil"/>
              <w:left w:val="nil"/>
              <w:bottom w:val="single" w:sz="4" w:space="0" w:color="auto"/>
              <w:right w:val="nil"/>
            </w:tcBorders>
            <w:vAlign w:val="center"/>
          </w:tcPr>
          <w:p w:rsidR="00F4582E" w:rsidRPr="000F7B47" w:rsidRDefault="00F4582E" w:rsidP="000A050A">
            <w:pPr>
              <w:bidi w:val="0"/>
              <w:jc w:val="center"/>
              <w:rPr>
                <w:rFonts w:asciiTheme="majorBidi" w:hAnsiTheme="majorBidi" w:cstheme="majorBidi"/>
                <w:sz w:val="20"/>
                <w:szCs w:val="20"/>
              </w:rPr>
            </w:pPr>
            <w:r w:rsidRPr="000F7B47">
              <w:rPr>
                <w:rFonts w:asciiTheme="majorBidi" w:hAnsiTheme="majorBidi" w:cstheme="majorBidi"/>
                <w:sz w:val="20"/>
                <w:szCs w:val="20"/>
              </w:rPr>
              <w:t>0.37</w:t>
            </w:r>
          </w:p>
        </w:tc>
      </w:tr>
      <w:tr w:rsidR="00F4582E" w:rsidRPr="000F7B47" w:rsidTr="000A050A">
        <w:tc>
          <w:tcPr>
            <w:tcW w:w="9468" w:type="dxa"/>
            <w:gridSpan w:val="8"/>
            <w:tcBorders>
              <w:top w:val="single" w:sz="4" w:space="0" w:color="auto"/>
              <w:left w:val="nil"/>
              <w:bottom w:val="nil"/>
              <w:right w:val="nil"/>
            </w:tcBorders>
          </w:tcPr>
          <w:p w:rsidR="00F4582E" w:rsidRPr="000F7B47" w:rsidRDefault="00F4582E" w:rsidP="000A050A">
            <w:pPr>
              <w:bidi w:val="0"/>
              <w:rPr>
                <w:rFonts w:asciiTheme="majorBidi" w:hAnsiTheme="majorBidi" w:cstheme="majorBidi"/>
                <w:sz w:val="20"/>
                <w:szCs w:val="20"/>
              </w:rPr>
            </w:pPr>
            <w:r w:rsidRPr="000F7B47">
              <w:rPr>
                <w:rFonts w:asciiTheme="majorBidi" w:hAnsiTheme="majorBidi" w:cstheme="majorBidi"/>
                <w:sz w:val="20"/>
                <w:szCs w:val="20"/>
              </w:rPr>
              <w:t xml:space="preserve">Data are shown as </w:t>
            </w:r>
            <w:proofErr w:type="spellStart"/>
            <w:r w:rsidRPr="000F7B47">
              <w:rPr>
                <w:rFonts w:asciiTheme="majorBidi" w:hAnsiTheme="majorBidi" w:cstheme="majorBidi"/>
                <w:sz w:val="20"/>
                <w:szCs w:val="20"/>
              </w:rPr>
              <w:t>Mean±SD</w:t>
            </w:r>
            <w:proofErr w:type="spellEnd"/>
            <w:r w:rsidRPr="000F7B47">
              <w:rPr>
                <w:rFonts w:asciiTheme="majorBidi" w:hAnsiTheme="majorBidi" w:cstheme="majorBidi"/>
                <w:sz w:val="20"/>
                <w:szCs w:val="20"/>
              </w:rPr>
              <w:t>, or number (%)</w:t>
            </w:r>
          </w:p>
        </w:tc>
      </w:tr>
    </w:tbl>
    <w:p w:rsidR="00F4582E" w:rsidRDefault="00F4582E" w:rsidP="00631A59">
      <w:pPr>
        <w:bidi w:val="0"/>
      </w:pPr>
    </w:p>
    <w:p w:rsidR="00F4582E" w:rsidRDefault="00F4582E">
      <w:pPr>
        <w:bidi w:val="0"/>
        <w:spacing w:after="160" w:line="259" w:lineRule="auto"/>
      </w:pPr>
      <w:r>
        <w:br w:type="page"/>
      </w:r>
    </w:p>
    <w:tbl>
      <w:tblPr>
        <w:tblW w:w="9001"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956"/>
        <w:gridCol w:w="1338"/>
        <w:gridCol w:w="1251"/>
        <w:gridCol w:w="1164"/>
        <w:gridCol w:w="1521"/>
        <w:gridCol w:w="1162"/>
      </w:tblGrid>
      <w:tr w:rsidR="00F4582E" w:rsidRPr="004C40D4" w:rsidTr="000A050A">
        <w:tc>
          <w:tcPr>
            <w:tcW w:w="9001" w:type="dxa"/>
            <w:gridSpan w:val="7"/>
            <w:tcBorders>
              <w:top w:val="nil"/>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b/>
                <w:bCs/>
                <w:sz w:val="20"/>
                <w:szCs w:val="20"/>
              </w:rPr>
              <w:lastRenderedPageBreak/>
              <w:t xml:space="preserve">Table 2. </w:t>
            </w:r>
            <w:proofErr w:type="spellStart"/>
            <w:r w:rsidRPr="004C40D4">
              <w:rPr>
                <w:rFonts w:asciiTheme="majorBidi" w:eastAsia="Calibri" w:hAnsiTheme="majorBidi" w:cstheme="majorBidi"/>
                <w:sz w:val="20"/>
                <w:szCs w:val="20"/>
              </w:rPr>
              <w:t>Mean±SD</w:t>
            </w:r>
            <w:proofErr w:type="spellEnd"/>
            <w:r w:rsidRPr="004C40D4">
              <w:rPr>
                <w:rFonts w:asciiTheme="majorBidi" w:eastAsia="Calibri" w:hAnsiTheme="majorBidi" w:cstheme="majorBidi"/>
                <w:sz w:val="20"/>
                <w:szCs w:val="20"/>
              </w:rPr>
              <w:t xml:space="preserve"> Beck anxiety score and the BIPQ score in the case and control groups before and after showing the angioplasty procedure video to the case group</w:t>
            </w:r>
          </w:p>
        </w:tc>
      </w:tr>
      <w:tr w:rsidR="00F4582E" w:rsidRPr="004C40D4" w:rsidTr="000A050A">
        <w:tc>
          <w:tcPr>
            <w:tcW w:w="1609"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p>
        </w:tc>
        <w:tc>
          <w:tcPr>
            <w:tcW w:w="956"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p>
        </w:tc>
        <w:tc>
          <w:tcPr>
            <w:tcW w:w="1338"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Before Showing the Video to the Case Group</w:t>
            </w:r>
          </w:p>
        </w:tc>
        <w:tc>
          <w:tcPr>
            <w:tcW w:w="1251"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After Showing the Video to the Case Group</w:t>
            </w:r>
          </w:p>
        </w:tc>
        <w:tc>
          <w:tcPr>
            <w:tcW w:w="1164"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Style w:val="shorttext"/>
                <w:rFonts w:asciiTheme="majorBidi" w:eastAsia="Calibri" w:hAnsiTheme="majorBidi" w:cstheme="majorBidi"/>
                <w:sz w:val="20"/>
                <w:szCs w:val="20"/>
                <w:lang w:val="en"/>
              </w:rPr>
              <w:t>Statistical Estimates Within the Groups</w:t>
            </w:r>
          </w:p>
        </w:tc>
        <w:tc>
          <w:tcPr>
            <w:tcW w:w="1521"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Changes in the Scores After Showing the Video to the Case Group</w:t>
            </w:r>
          </w:p>
        </w:tc>
        <w:tc>
          <w:tcPr>
            <w:tcW w:w="1162" w:type="dxa"/>
            <w:tcBorders>
              <w:top w:val="single" w:sz="12" w:space="0" w:color="auto"/>
              <w:left w:val="nil"/>
              <w:bottom w:val="single" w:sz="12" w:space="0" w:color="auto"/>
              <w:right w:val="nil"/>
            </w:tcBorders>
            <w:shd w:val="clear" w:color="auto" w:fill="auto"/>
          </w:tcPr>
          <w:p w:rsidR="00F4582E" w:rsidRPr="004C40D4" w:rsidRDefault="00F4582E" w:rsidP="000A050A">
            <w:pPr>
              <w:bidi w:val="0"/>
              <w:jc w:val="both"/>
              <w:rPr>
                <w:rStyle w:val="shorttext"/>
                <w:rFonts w:asciiTheme="majorBidi" w:eastAsia="Calibri" w:hAnsiTheme="majorBidi" w:cstheme="majorBidi"/>
                <w:sz w:val="20"/>
                <w:szCs w:val="20"/>
                <w:lang w:val="en"/>
              </w:rPr>
            </w:pPr>
            <w:r w:rsidRPr="004C40D4">
              <w:rPr>
                <w:rStyle w:val="shorttext"/>
                <w:rFonts w:asciiTheme="majorBidi" w:eastAsia="Calibri" w:hAnsiTheme="majorBidi" w:cstheme="majorBidi"/>
                <w:sz w:val="20"/>
                <w:szCs w:val="20"/>
                <w:lang w:val="en"/>
              </w:rPr>
              <w:t>Statistical Estimates</w:t>
            </w:r>
          </w:p>
          <w:p w:rsidR="00F4582E" w:rsidRPr="004C40D4" w:rsidRDefault="00F4582E" w:rsidP="000A050A">
            <w:pPr>
              <w:bidi w:val="0"/>
              <w:jc w:val="both"/>
              <w:rPr>
                <w:rFonts w:asciiTheme="majorBidi" w:eastAsia="Calibri" w:hAnsiTheme="majorBidi" w:cstheme="majorBidi"/>
                <w:sz w:val="20"/>
                <w:szCs w:val="20"/>
              </w:rPr>
            </w:pPr>
            <w:r w:rsidRPr="004C40D4">
              <w:rPr>
                <w:rStyle w:val="shorttext"/>
                <w:rFonts w:asciiTheme="majorBidi" w:eastAsia="Calibri" w:hAnsiTheme="majorBidi" w:cstheme="majorBidi"/>
                <w:sz w:val="20"/>
                <w:szCs w:val="20"/>
                <w:lang w:val="en"/>
              </w:rPr>
              <w:t>Between the Groups</w:t>
            </w:r>
          </w:p>
        </w:tc>
      </w:tr>
      <w:tr w:rsidR="00F4582E" w:rsidRPr="004C40D4" w:rsidTr="000A050A">
        <w:tc>
          <w:tcPr>
            <w:tcW w:w="7839" w:type="dxa"/>
            <w:gridSpan w:val="6"/>
            <w:tcBorders>
              <w:top w:val="single" w:sz="12" w:space="0" w:color="auto"/>
              <w:left w:val="nil"/>
              <w:bottom w:val="nil"/>
              <w:right w:val="nil"/>
            </w:tcBorders>
            <w:shd w:val="clear" w:color="auto" w:fill="auto"/>
          </w:tcPr>
          <w:p w:rsidR="00F4582E" w:rsidRPr="004C40D4" w:rsidRDefault="00F4582E" w:rsidP="000A050A">
            <w:pPr>
              <w:bidi w:val="0"/>
              <w:jc w:val="both"/>
              <w:rPr>
                <w:rFonts w:asciiTheme="majorBidi" w:eastAsia="Calibri" w:hAnsiTheme="majorBidi" w:cstheme="majorBidi"/>
                <w:b/>
                <w:bCs/>
                <w:sz w:val="20"/>
                <w:szCs w:val="20"/>
              </w:rPr>
            </w:pPr>
            <w:r w:rsidRPr="004C40D4">
              <w:rPr>
                <w:rFonts w:asciiTheme="majorBidi" w:eastAsia="Calibri" w:hAnsiTheme="majorBidi" w:cstheme="majorBidi"/>
                <w:b/>
                <w:bCs/>
                <w:sz w:val="20"/>
                <w:szCs w:val="20"/>
              </w:rPr>
              <w:t>Anxiety</w:t>
            </w:r>
          </w:p>
        </w:tc>
        <w:tc>
          <w:tcPr>
            <w:tcW w:w="1162" w:type="dxa"/>
            <w:tcBorders>
              <w:top w:val="single" w:sz="12" w:space="0" w:color="auto"/>
              <w:left w:val="nil"/>
              <w:bottom w:val="nil"/>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p>
        </w:tc>
      </w:tr>
      <w:tr w:rsidR="00F4582E" w:rsidRPr="004C40D4" w:rsidTr="000A050A">
        <w:tc>
          <w:tcPr>
            <w:tcW w:w="2565" w:type="dxa"/>
            <w:gridSpan w:val="2"/>
            <w:tcBorders>
              <w:top w:val="nil"/>
              <w:left w:val="nil"/>
              <w:bottom w:val="nil"/>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Case group</w:t>
            </w:r>
          </w:p>
        </w:tc>
        <w:tc>
          <w:tcPr>
            <w:tcW w:w="1338"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34.26±8.1</w:t>
            </w:r>
          </w:p>
        </w:tc>
        <w:tc>
          <w:tcPr>
            <w:tcW w:w="1251"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24.4±8.56</w:t>
            </w:r>
          </w:p>
        </w:tc>
        <w:tc>
          <w:tcPr>
            <w:tcW w:w="1164"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i/>
                <w:iCs/>
                <w:sz w:val="20"/>
                <w:szCs w:val="20"/>
              </w:rPr>
              <w:t>t</w:t>
            </w:r>
            <w:r w:rsidRPr="004C40D4">
              <w:rPr>
                <w:rFonts w:asciiTheme="majorBidi" w:eastAsia="Calibri" w:hAnsiTheme="majorBidi" w:cstheme="majorBidi"/>
                <w:sz w:val="20"/>
                <w:szCs w:val="20"/>
              </w:rPr>
              <w:t>=8.89</w:t>
            </w:r>
          </w:p>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i/>
                <w:iCs/>
                <w:sz w:val="20"/>
                <w:szCs w:val="20"/>
              </w:rPr>
              <w:t>P</w:t>
            </w:r>
            <w:r w:rsidRPr="004C40D4">
              <w:rPr>
                <w:rFonts w:asciiTheme="majorBidi" w:eastAsia="Calibri" w:hAnsiTheme="majorBidi" w:cstheme="majorBidi"/>
                <w:sz w:val="20"/>
                <w:szCs w:val="20"/>
              </w:rPr>
              <w:t>=0.0001</w:t>
            </w:r>
          </w:p>
        </w:tc>
        <w:tc>
          <w:tcPr>
            <w:tcW w:w="1521"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-9.86±6.07</w:t>
            </w:r>
          </w:p>
        </w:tc>
        <w:tc>
          <w:tcPr>
            <w:tcW w:w="1162" w:type="dxa"/>
            <w:vMerge w:val="restart"/>
            <w:tcBorders>
              <w:top w:val="nil"/>
              <w:left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t=2.19</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P=0.033</w:t>
            </w:r>
          </w:p>
        </w:tc>
      </w:tr>
      <w:tr w:rsidR="00F4582E" w:rsidRPr="004C40D4" w:rsidTr="000A050A">
        <w:tc>
          <w:tcPr>
            <w:tcW w:w="2565" w:type="dxa"/>
            <w:gridSpan w:val="2"/>
            <w:tcBorders>
              <w:top w:val="nil"/>
              <w:left w:val="nil"/>
              <w:bottom w:val="nil"/>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Control group</w:t>
            </w:r>
          </w:p>
        </w:tc>
        <w:tc>
          <w:tcPr>
            <w:tcW w:w="1338"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34.46±9.34</w:t>
            </w:r>
          </w:p>
        </w:tc>
        <w:tc>
          <w:tcPr>
            <w:tcW w:w="1251"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26.6±9.44</w:t>
            </w:r>
          </w:p>
        </w:tc>
        <w:tc>
          <w:tcPr>
            <w:tcW w:w="1164"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i/>
                <w:iCs/>
                <w:sz w:val="20"/>
                <w:szCs w:val="20"/>
              </w:rPr>
              <w:t>t</w:t>
            </w:r>
            <w:r w:rsidRPr="004C40D4">
              <w:rPr>
                <w:rFonts w:asciiTheme="majorBidi" w:eastAsia="Calibri" w:hAnsiTheme="majorBidi" w:cstheme="majorBidi"/>
                <w:sz w:val="20"/>
                <w:szCs w:val="20"/>
              </w:rPr>
              <w:t>=8.59</w:t>
            </w:r>
          </w:p>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i/>
                <w:iCs/>
                <w:sz w:val="20"/>
                <w:szCs w:val="20"/>
              </w:rPr>
              <w:t>P</w:t>
            </w:r>
            <w:r w:rsidRPr="004C40D4">
              <w:rPr>
                <w:rFonts w:asciiTheme="majorBidi" w:eastAsia="Calibri" w:hAnsiTheme="majorBidi" w:cstheme="majorBidi"/>
                <w:sz w:val="20"/>
                <w:szCs w:val="20"/>
              </w:rPr>
              <w:t>=0.0001</w:t>
            </w:r>
          </w:p>
        </w:tc>
        <w:tc>
          <w:tcPr>
            <w:tcW w:w="1521"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-6.86±4.37</w:t>
            </w:r>
          </w:p>
        </w:tc>
        <w:tc>
          <w:tcPr>
            <w:tcW w:w="1162" w:type="dxa"/>
            <w:vMerge/>
            <w:tcBorders>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r>
      <w:tr w:rsidR="00F4582E" w:rsidRPr="004C40D4" w:rsidTr="000A050A">
        <w:tc>
          <w:tcPr>
            <w:tcW w:w="2565" w:type="dxa"/>
            <w:gridSpan w:val="2"/>
            <w:tcBorders>
              <w:top w:val="nil"/>
              <w:left w:val="nil"/>
              <w:bottom w:val="nil"/>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Style w:val="shorttext"/>
                <w:rFonts w:asciiTheme="majorBidi" w:eastAsia="Calibri" w:hAnsiTheme="majorBidi" w:cstheme="majorBidi"/>
                <w:sz w:val="20"/>
                <w:szCs w:val="20"/>
                <w:lang w:val="en"/>
              </w:rPr>
              <w:t>Statistical estimates between the groups</w:t>
            </w:r>
          </w:p>
        </w:tc>
        <w:tc>
          <w:tcPr>
            <w:tcW w:w="1338"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t=0.28</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P=0.778</w:t>
            </w:r>
          </w:p>
        </w:tc>
        <w:tc>
          <w:tcPr>
            <w:tcW w:w="1251"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t=0.889</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P=0.474</w:t>
            </w:r>
          </w:p>
        </w:tc>
        <w:tc>
          <w:tcPr>
            <w:tcW w:w="1164"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c>
          <w:tcPr>
            <w:tcW w:w="1521"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c>
          <w:tcPr>
            <w:tcW w:w="1162" w:type="dxa"/>
            <w:tcBorders>
              <w:top w:val="nil"/>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r>
      <w:tr w:rsidR="00F4582E" w:rsidRPr="004C40D4" w:rsidTr="000A050A">
        <w:tc>
          <w:tcPr>
            <w:tcW w:w="7839" w:type="dxa"/>
            <w:gridSpan w:val="6"/>
            <w:tcBorders>
              <w:top w:val="nil"/>
              <w:left w:val="nil"/>
              <w:bottom w:val="nil"/>
              <w:right w:val="nil"/>
            </w:tcBorders>
            <w:shd w:val="clear" w:color="auto" w:fill="auto"/>
          </w:tcPr>
          <w:p w:rsidR="00F4582E" w:rsidRPr="00E43BEC" w:rsidRDefault="00F4582E" w:rsidP="000A050A">
            <w:pPr>
              <w:bidi w:val="0"/>
              <w:jc w:val="both"/>
              <w:rPr>
                <w:rFonts w:asciiTheme="majorBidi" w:eastAsia="Calibri" w:hAnsiTheme="majorBidi" w:cstheme="majorBidi"/>
                <w:b/>
                <w:bCs/>
                <w:sz w:val="20"/>
                <w:szCs w:val="20"/>
              </w:rPr>
            </w:pPr>
            <w:r w:rsidRPr="00E43BEC">
              <w:rPr>
                <w:rFonts w:asciiTheme="majorBidi" w:eastAsia="Calibri" w:hAnsiTheme="majorBidi" w:cstheme="majorBidi"/>
                <w:b/>
                <w:bCs/>
                <w:sz w:val="20"/>
                <w:szCs w:val="20"/>
              </w:rPr>
              <w:t>BIPQ</w:t>
            </w:r>
          </w:p>
        </w:tc>
        <w:tc>
          <w:tcPr>
            <w:tcW w:w="1162" w:type="dxa"/>
            <w:vMerge w:val="restart"/>
            <w:tcBorders>
              <w:top w:val="nil"/>
              <w:left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t=6.78</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P=0.0001</w:t>
            </w:r>
          </w:p>
        </w:tc>
      </w:tr>
      <w:tr w:rsidR="00F4582E" w:rsidRPr="004C40D4" w:rsidTr="000A050A">
        <w:tc>
          <w:tcPr>
            <w:tcW w:w="2565" w:type="dxa"/>
            <w:gridSpan w:val="2"/>
            <w:tcBorders>
              <w:top w:val="nil"/>
              <w:left w:val="nil"/>
              <w:bottom w:val="nil"/>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Case group</w:t>
            </w:r>
          </w:p>
        </w:tc>
        <w:tc>
          <w:tcPr>
            <w:tcW w:w="1338"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60.63±8.43</w:t>
            </w:r>
          </w:p>
        </w:tc>
        <w:tc>
          <w:tcPr>
            <w:tcW w:w="1251"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47.16±8.29</w:t>
            </w:r>
          </w:p>
        </w:tc>
        <w:tc>
          <w:tcPr>
            <w:tcW w:w="1164"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t=10.88</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P=0.0001</w:t>
            </w:r>
          </w:p>
        </w:tc>
        <w:tc>
          <w:tcPr>
            <w:tcW w:w="1521"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-13.66±6.77</w:t>
            </w:r>
          </w:p>
        </w:tc>
        <w:tc>
          <w:tcPr>
            <w:tcW w:w="1162" w:type="dxa"/>
            <w:vMerge/>
            <w:tcBorders>
              <w:left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p>
        </w:tc>
      </w:tr>
      <w:tr w:rsidR="00F4582E" w:rsidRPr="004C40D4" w:rsidTr="000A050A">
        <w:tc>
          <w:tcPr>
            <w:tcW w:w="2565" w:type="dxa"/>
            <w:gridSpan w:val="2"/>
            <w:tcBorders>
              <w:top w:val="nil"/>
              <w:left w:val="nil"/>
              <w:bottom w:val="nil"/>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Control group</w:t>
            </w:r>
          </w:p>
        </w:tc>
        <w:tc>
          <w:tcPr>
            <w:tcW w:w="1338"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57.83±10.72</w:t>
            </w:r>
          </w:p>
        </w:tc>
        <w:tc>
          <w:tcPr>
            <w:tcW w:w="1251"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56.33±8.05</w:t>
            </w:r>
          </w:p>
        </w:tc>
        <w:tc>
          <w:tcPr>
            <w:tcW w:w="1164"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t=1.19</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P=0.243</w:t>
            </w:r>
          </w:p>
        </w:tc>
        <w:tc>
          <w:tcPr>
            <w:tcW w:w="1521" w:type="dxa"/>
            <w:tcBorders>
              <w:top w:val="nil"/>
              <w:left w:val="nil"/>
              <w:bottom w:val="nil"/>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-1.5±6.89</w:t>
            </w:r>
          </w:p>
        </w:tc>
        <w:tc>
          <w:tcPr>
            <w:tcW w:w="1162" w:type="dxa"/>
            <w:vMerge/>
            <w:tcBorders>
              <w:left w:val="nil"/>
              <w:bottom w:val="nil"/>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r>
      <w:tr w:rsidR="00F4582E" w:rsidRPr="004C40D4" w:rsidTr="000A050A">
        <w:tc>
          <w:tcPr>
            <w:tcW w:w="2565" w:type="dxa"/>
            <w:gridSpan w:val="2"/>
            <w:tcBorders>
              <w:top w:val="nil"/>
              <w:left w:val="nil"/>
              <w:bottom w:val="single" w:sz="12" w:space="0" w:color="auto"/>
              <w:right w:val="nil"/>
            </w:tcBorders>
            <w:shd w:val="clear" w:color="auto" w:fill="auto"/>
          </w:tcPr>
          <w:p w:rsidR="00F4582E" w:rsidRPr="004C40D4" w:rsidRDefault="00F4582E" w:rsidP="000A050A">
            <w:pPr>
              <w:bidi w:val="0"/>
              <w:ind w:left="720"/>
              <w:jc w:val="both"/>
              <w:rPr>
                <w:rFonts w:asciiTheme="majorBidi" w:eastAsia="Calibri" w:hAnsiTheme="majorBidi" w:cstheme="majorBidi"/>
                <w:sz w:val="20"/>
                <w:szCs w:val="20"/>
              </w:rPr>
            </w:pPr>
            <w:r w:rsidRPr="004C40D4">
              <w:rPr>
                <w:rStyle w:val="shorttext"/>
                <w:rFonts w:asciiTheme="majorBidi" w:eastAsia="Calibri" w:hAnsiTheme="majorBidi" w:cstheme="majorBidi"/>
                <w:sz w:val="20"/>
                <w:szCs w:val="20"/>
                <w:lang w:val="en"/>
              </w:rPr>
              <w:t>Statistical estimates between the groups</w:t>
            </w:r>
          </w:p>
        </w:tc>
        <w:tc>
          <w:tcPr>
            <w:tcW w:w="1338" w:type="dxa"/>
            <w:tcBorders>
              <w:top w:val="nil"/>
              <w:left w:val="nil"/>
              <w:bottom w:val="single" w:sz="12" w:space="0" w:color="auto"/>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t=1.12</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P=0.266</w:t>
            </w:r>
          </w:p>
        </w:tc>
        <w:tc>
          <w:tcPr>
            <w:tcW w:w="1251" w:type="dxa"/>
            <w:tcBorders>
              <w:top w:val="nil"/>
              <w:left w:val="nil"/>
              <w:bottom w:val="single" w:sz="12" w:space="0" w:color="auto"/>
              <w:right w:val="nil"/>
            </w:tcBorders>
            <w:shd w:val="clear" w:color="auto" w:fill="auto"/>
            <w:vAlign w:val="center"/>
          </w:tcPr>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t=4.34</w:t>
            </w:r>
          </w:p>
          <w:p w:rsidR="00F4582E" w:rsidRPr="00E43BEC" w:rsidRDefault="00F4582E" w:rsidP="000A050A">
            <w:pPr>
              <w:bidi w:val="0"/>
              <w:jc w:val="both"/>
              <w:rPr>
                <w:rFonts w:asciiTheme="majorBidi" w:eastAsia="Calibri" w:hAnsiTheme="majorBidi" w:cstheme="majorBidi"/>
                <w:sz w:val="20"/>
                <w:szCs w:val="20"/>
              </w:rPr>
            </w:pPr>
            <w:r w:rsidRPr="00E43BEC">
              <w:rPr>
                <w:rFonts w:asciiTheme="majorBidi" w:eastAsia="Calibri" w:hAnsiTheme="majorBidi" w:cstheme="majorBidi"/>
                <w:sz w:val="20"/>
                <w:szCs w:val="20"/>
              </w:rPr>
              <w:t>P=0.0001</w:t>
            </w:r>
          </w:p>
        </w:tc>
        <w:tc>
          <w:tcPr>
            <w:tcW w:w="1164" w:type="dxa"/>
            <w:tcBorders>
              <w:top w:val="nil"/>
              <w:left w:val="nil"/>
              <w:bottom w:val="single" w:sz="12" w:space="0" w:color="auto"/>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c>
          <w:tcPr>
            <w:tcW w:w="1521" w:type="dxa"/>
            <w:tcBorders>
              <w:top w:val="nil"/>
              <w:left w:val="nil"/>
              <w:bottom w:val="single" w:sz="12" w:space="0" w:color="auto"/>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c>
          <w:tcPr>
            <w:tcW w:w="1162" w:type="dxa"/>
            <w:tcBorders>
              <w:top w:val="nil"/>
              <w:left w:val="nil"/>
              <w:bottom w:val="single" w:sz="12" w:space="0" w:color="auto"/>
              <w:right w:val="nil"/>
            </w:tcBorders>
            <w:shd w:val="clear" w:color="auto" w:fill="auto"/>
            <w:vAlign w:val="center"/>
          </w:tcPr>
          <w:p w:rsidR="00F4582E" w:rsidRPr="004C40D4" w:rsidRDefault="00F4582E" w:rsidP="000A050A">
            <w:pPr>
              <w:bidi w:val="0"/>
              <w:jc w:val="both"/>
              <w:rPr>
                <w:rFonts w:asciiTheme="majorBidi" w:eastAsia="Calibri" w:hAnsiTheme="majorBidi" w:cstheme="majorBidi"/>
                <w:sz w:val="20"/>
                <w:szCs w:val="20"/>
              </w:rPr>
            </w:pPr>
          </w:p>
        </w:tc>
      </w:tr>
      <w:tr w:rsidR="00F4582E" w:rsidRPr="004C40D4" w:rsidTr="000A050A">
        <w:tc>
          <w:tcPr>
            <w:tcW w:w="9001" w:type="dxa"/>
            <w:gridSpan w:val="7"/>
            <w:tcBorders>
              <w:top w:val="single" w:sz="12" w:space="0" w:color="auto"/>
              <w:left w:val="nil"/>
              <w:bottom w:val="nil"/>
              <w:right w:val="nil"/>
            </w:tcBorders>
            <w:shd w:val="clear" w:color="auto" w:fill="auto"/>
          </w:tcPr>
          <w:p w:rsidR="00F4582E" w:rsidRPr="004C40D4" w:rsidRDefault="00F4582E" w:rsidP="000A050A">
            <w:pPr>
              <w:bidi w:val="0"/>
              <w:jc w:val="both"/>
              <w:rPr>
                <w:rFonts w:asciiTheme="majorBidi" w:eastAsia="Calibri" w:hAnsiTheme="majorBidi" w:cstheme="majorBidi"/>
                <w:sz w:val="20"/>
                <w:szCs w:val="20"/>
              </w:rPr>
            </w:pPr>
            <w:r w:rsidRPr="004C40D4">
              <w:rPr>
                <w:rFonts w:asciiTheme="majorBidi" w:eastAsia="Calibri" w:hAnsiTheme="majorBidi" w:cstheme="majorBidi"/>
                <w:sz w:val="20"/>
                <w:szCs w:val="20"/>
              </w:rPr>
              <w:t xml:space="preserve">Data are shown as </w:t>
            </w:r>
            <w:proofErr w:type="spellStart"/>
            <w:r w:rsidRPr="004C40D4">
              <w:rPr>
                <w:rFonts w:asciiTheme="majorBidi" w:eastAsia="Calibri" w:hAnsiTheme="majorBidi" w:cstheme="majorBidi"/>
                <w:sz w:val="20"/>
                <w:szCs w:val="20"/>
              </w:rPr>
              <w:t>mean±SD</w:t>
            </w:r>
            <w:proofErr w:type="spellEnd"/>
            <w:r w:rsidRPr="004C40D4">
              <w:rPr>
                <w:rFonts w:asciiTheme="majorBidi" w:eastAsia="Calibri" w:hAnsiTheme="majorBidi" w:cstheme="majorBidi"/>
                <w:sz w:val="20"/>
                <w:szCs w:val="20"/>
              </w:rPr>
              <w:t>, or number (%).</w:t>
            </w:r>
          </w:p>
          <w:p w:rsidR="00F4582E" w:rsidRPr="004C40D4" w:rsidRDefault="00F4582E" w:rsidP="000A050A">
            <w:pPr>
              <w:bidi w:val="0"/>
              <w:jc w:val="both"/>
              <w:rPr>
                <w:rFonts w:asciiTheme="majorBidi" w:eastAsia="Calibri" w:hAnsiTheme="majorBidi" w:cstheme="majorBidi"/>
                <w:b/>
                <w:bCs/>
                <w:sz w:val="20"/>
                <w:szCs w:val="20"/>
              </w:rPr>
            </w:pPr>
            <w:r w:rsidRPr="004C40D4">
              <w:rPr>
                <w:rFonts w:asciiTheme="majorBidi" w:eastAsia="Calibri" w:hAnsiTheme="majorBidi" w:cstheme="majorBidi"/>
                <w:sz w:val="20"/>
                <w:szCs w:val="20"/>
              </w:rPr>
              <w:t xml:space="preserve">BIPQ, </w:t>
            </w:r>
            <w:hyperlink r:id="rId9" w:history="1">
              <w:r w:rsidRPr="004C40D4">
                <w:rPr>
                  <w:rFonts w:asciiTheme="majorBidi" w:eastAsia="Calibri" w:hAnsiTheme="majorBidi" w:cstheme="majorBidi"/>
                  <w:sz w:val="20"/>
                  <w:szCs w:val="20"/>
                </w:rPr>
                <w:t>Brief Illness Perception Questionnaire</w:t>
              </w:r>
            </w:hyperlink>
          </w:p>
          <w:p w:rsidR="00F4582E" w:rsidRPr="004C40D4" w:rsidRDefault="00F4582E" w:rsidP="000A050A">
            <w:pPr>
              <w:bidi w:val="0"/>
              <w:jc w:val="both"/>
              <w:rPr>
                <w:rFonts w:asciiTheme="majorBidi" w:eastAsia="Calibri" w:hAnsiTheme="majorBidi" w:cstheme="majorBidi"/>
                <w:sz w:val="20"/>
                <w:szCs w:val="20"/>
              </w:rPr>
            </w:pPr>
          </w:p>
        </w:tc>
      </w:tr>
    </w:tbl>
    <w:p w:rsidR="00482B53" w:rsidRDefault="00482B53" w:rsidP="00631A59">
      <w:pPr>
        <w:bidi w:val="0"/>
      </w:pPr>
    </w:p>
    <w:sectPr w:rsidR="00482B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82A" w:rsidRDefault="00B3782A" w:rsidP="00B3782A">
      <w:r>
        <w:separator/>
      </w:r>
    </w:p>
  </w:endnote>
  <w:endnote w:type="continuationSeparator" w:id="0">
    <w:p w:rsidR="00B3782A" w:rsidRDefault="00B3782A" w:rsidP="00B3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99788856"/>
      <w:docPartObj>
        <w:docPartGallery w:val="Page Numbers (Bottom of Page)"/>
        <w:docPartUnique/>
      </w:docPartObj>
    </w:sdtPr>
    <w:sdtEndPr>
      <w:rPr>
        <w:noProof/>
      </w:rPr>
    </w:sdtEndPr>
    <w:sdtContent>
      <w:p w:rsidR="00B3782A" w:rsidRDefault="00B3782A">
        <w:pPr>
          <w:pStyle w:val="Footer"/>
          <w:jc w:val="center"/>
        </w:pPr>
        <w:r>
          <w:fldChar w:fldCharType="begin"/>
        </w:r>
        <w:r>
          <w:instrText xml:space="preserve"> PAGE   \* MERGEFORMAT </w:instrText>
        </w:r>
        <w:r>
          <w:fldChar w:fldCharType="separate"/>
        </w:r>
        <w:r w:rsidR="00BD70DD">
          <w:rPr>
            <w:noProof/>
            <w:rtl/>
          </w:rPr>
          <w:t>4</w:t>
        </w:r>
        <w:r>
          <w:rPr>
            <w:noProof/>
          </w:rPr>
          <w:fldChar w:fldCharType="end"/>
        </w:r>
      </w:p>
    </w:sdtContent>
  </w:sdt>
  <w:p w:rsidR="00B3782A" w:rsidRDefault="00B378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82A" w:rsidRDefault="00B3782A" w:rsidP="00B3782A">
      <w:r>
        <w:separator/>
      </w:r>
    </w:p>
  </w:footnote>
  <w:footnote w:type="continuationSeparator" w:id="0">
    <w:p w:rsidR="00B3782A" w:rsidRDefault="00B3782A" w:rsidP="00B378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94BDF"/>
    <w:multiLevelType w:val="hybridMultilevel"/>
    <w:tmpl w:val="89DE84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MJ Styl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922rvvwxa999e0xv0xf2002p9zw2ztxawe&quot;&gt;Angio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C67C68"/>
    <w:rsid w:val="000106E3"/>
    <w:rsid w:val="000578B5"/>
    <w:rsid w:val="0008669B"/>
    <w:rsid w:val="000A2056"/>
    <w:rsid w:val="000A37AB"/>
    <w:rsid w:val="000A38A5"/>
    <w:rsid w:val="000F7B47"/>
    <w:rsid w:val="00101CB4"/>
    <w:rsid w:val="001244E0"/>
    <w:rsid w:val="00141589"/>
    <w:rsid w:val="001574FA"/>
    <w:rsid w:val="00162AC8"/>
    <w:rsid w:val="00172956"/>
    <w:rsid w:val="00187F99"/>
    <w:rsid w:val="00194535"/>
    <w:rsid w:val="001E25B5"/>
    <w:rsid w:val="001E4ADD"/>
    <w:rsid w:val="00211C3B"/>
    <w:rsid w:val="00212851"/>
    <w:rsid w:val="0023608D"/>
    <w:rsid w:val="002425BA"/>
    <w:rsid w:val="00261A07"/>
    <w:rsid w:val="00265702"/>
    <w:rsid w:val="00271762"/>
    <w:rsid w:val="00283B32"/>
    <w:rsid w:val="0028714C"/>
    <w:rsid w:val="002A032D"/>
    <w:rsid w:val="002A5104"/>
    <w:rsid w:val="002A5790"/>
    <w:rsid w:val="002C381B"/>
    <w:rsid w:val="002C760F"/>
    <w:rsid w:val="002F7EB0"/>
    <w:rsid w:val="00315143"/>
    <w:rsid w:val="003453E6"/>
    <w:rsid w:val="00381626"/>
    <w:rsid w:val="00383452"/>
    <w:rsid w:val="003A7942"/>
    <w:rsid w:val="003C3524"/>
    <w:rsid w:val="003C46BE"/>
    <w:rsid w:val="003D0ABA"/>
    <w:rsid w:val="00422EE0"/>
    <w:rsid w:val="00452D79"/>
    <w:rsid w:val="00464AC8"/>
    <w:rsid w:val="00464DB5"/>
    <w:rsid w:val="0046742E"/>
    <w:rsid w:val="00475BA8"/>
    <w:rsid w:val="00476002"/>
    <w:rsid w:val="00482B53"/>
    <w:rsid w:val="004A008E"/>
    <w:rsid w:val="004C159C"/>
    <w:rsid w:val="004C40D4"/>
    <w:rsid w:val="004C6B47"/>
    <w:rsid w:val="004D0618"/>
    <w:rsid w:val="004F2A17"/>
    <w:rsid w:val="004F5BB9"/>
    <w:rsid w:val="00503C7C"/>
    <w:rsid w:val="00505A24"/>
    <w:rsid w:val="005276FD"/>
    <w:rsid w:val="00541699"/>
    <w:rsid w:val="0056543A"/>
    <w:rsid w:val="005708CB"/>
    <w:rsid w:val="00582526"/>
    <w:rsid w:val="0059718D"/>
    <w:rsid w:val="005F1B94"/>
    <w:rsid w:val="00601709"/>
    <w:rsid w:val="00631A59"/>
    <w:rsid w:val="00671249"/>
    <w:rsid w:val="006C2DFC"/>
    <w:rsid w:val="006E7E0D"/>
    <w:rsid w:val="00757979"/>
    <w:rsid w:val="007C06D3"/>
    <w:rsid w:val="007D0661"/>
    <w:rsid w:val="007D66FB"/>
    <w:rsid w:val="007E49FC"/>
    <w:rsid w:val="007F4FB1"/>
    <w:rsid w:val="00830D23"/>
    <w:rsid w:val="0083525F"/>
    <w:rsid w:val="008A2951"/>
    <w:rsid w:val="008A718D"/>
    <w:rsid w:val="008D1678"/>
    <w:rsid w:val="008E2DF5"/>
    <w:rsid w:val="008E7BEA"/>
    <w:rsid w:val="008F0833"/>
    <w:rsid w:val="009100A9"/>
    <w:rsid w:val="00947640"/>
    <w:rsid w:val="009511B4"/>
    <w:rsid w:val="00963788"/>
    <w:rsid w:val="009F282C"/>
    <w:rsid w:val="009F5F08"/>
    <w:rsid w:val="00A1010E"/>
    <w:rsid w:val="00A1262A"/>
    <w:rsid w:val="00A129BD"/>
    <w:rsid w:val="00A22226"/>
    <w:rsid w:val="00A526DC"/>
    <w:rsid w:val="00A72843"/>
    <w:rsid w:val="00A83021"/>
    <w:rsid w:val="00A8659C"/>
    <w:rsid w:val="00AA23F4"/>
    <w:rsid w:val="00AA7EC2"/>
    <w:rsid w:val="00AB0DB7"/>
    <w:rsid w:val="00AC48E3"/>
    <w:rsid w:val="00AE69A1"/>
    <w:rsid w:val="00B27B88"/>
    <w:rsid w:val="00B33B81"/>
    <w:rsid w:val="00B3782A"/>
    <w:rsid w:val="00B80B5D"/>
    <w:rsid w:val="00B81431"/>
    <w:rsid w:val="00B93CC0"/>
    <w:rsid w:val="00BB710F"/>
    <w:rsid w:val="00BC3C01"/>
    <w:rsid w:val="00BD70DD"/>
    <w:rsid w:val="00BE4261"/>
    <w:rsid w:val="00BE7E5F"/>
    <w:rsid w:val="00BF7EA8"/>
    <w:rsid w:val="00C00492"/>
    <w:rsid w:val="00C00B52"/>
    <w:rsid w:val="00C17827"/>
    <w:rsid w:val="00C61BF8"/>
    <w:rsid w:val="00C63C41"/>
    <w:rsid w:val="00C67C68"/>
    <w:rsid w:val="00CC3950"/>
    <w:rsid w:val="00CC7E1D"/>
    <w:rsid w:val="00D5066D"/>
    <w:rsid w:val="00D80149"/>
    <w:rsid w:val="00D96715"/>
    <w:rsid w:val="00DA755E"/>
    <w:rsid w:val="00DD0154"/>
    <w:rsid w:val="00DD213F"/>
    <w:rsid w:val="00E22AF6"/>
    <w:rsid w:val="00E31AC0"/>
    <w:rsid w:val="00E43BEC"/>
    <w:rsid w:val="00E54BE0"/>
    <w:rsid w:val="00E54EF7"/>
    <w:rsid w:val="00E56520"/>
    <w:rsid w:val="00E77CFB"/>
    <w:rsid w:val="00E87020"/>
    <w:rsid w:val="00E972FD"/>
    <w:rsid w:val="00ED5B1D"/>
    <w:rsid w:val="00F07547"/>
    <w:rsid w:val="00F3075E"/>
    <w:rsid w:val="00F4582E"/>
    <w:rsid w:val="00F47BD9"/>
    <w:rsid w:val="00FA185C"/>
    <w:rsid w:val="00FC326E"/>
    <w:rsid w:val="00FD5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78F8"/>
  <w15:chartTrackingRefBased/>
  <w15:docId w15:val="{E980DA01-7F71-4F87-BECF-150E6F3D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C68"/>
    <w:pPr>
      <w:bidi/>
      <w:spacing w:after="0" w:line="240" w:lineRule="auto"/>
    </w:pPr>
    <w:rPr>
      <w:rFonts w:ascii="Times New Roman" w:eastAsia="Times New Roman" w:hAnsi="Times New Roman" w:cs="Times New Roman"/>
      <w:sz w:val="24"/>
      <w:szCs w:val="24"/>
      <w:lang w:bidi="fa-IR"/>
    </w:rPr>
  </w:style>
  <w:style w:type="paragraph" w:styleId="Heading2">
    <w:name w:val="heading 2"/>
    <w:basedOn w:val="Normal"/>
    <w:link w:val="Heading2Char"/>
    <w:uiPriority w:val="9"/>
    <w:qFormat/>
    <w:rsid w:val="00601709"/>
    <w:pPr>
      <w:bidi w:val="0"/>
      <w:spacing w:before="100" w:beforeAutospacing="1" w:after="100" w:afterAutospacing="1"/>
      <w:outlineLvl w:val="1"/>
    </w:pPr>
    <w:rPr>
      <w:b/>
      <w:bCs/>
      <w:sz w:val="36"/>
      <w:szCs w:val="36"/>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67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horttext">
    <w:name w:val="short_text"/>
    <w:rsid w:val="00C67C68"/>
  </w:style>
  <w:style w:type="paragraph" w:customStyle="1" w:styleId="EndNoteBibliography">
    <w:name w:val="EndNote Bibliography"/>
    <w:basedOn w:val="Normal"/>
    <w:link w:val="EndNoteBibliographyChar"/>
    <w:rsid w:val="00C67C68"/>
    <w:pPr>
      <w:bidi w:val="0"/>
      <w:spacing w:after="160"/>
      <w:jc w:val="both"/>
    </w:pPr>
    <w:rPr>
      <w:rFonts w:eastAsia="Calibri"/>
      <w:noProof/>
      <w:szCs w:val="22"/>
      <w:lang w:bidi="ar-SA"/>
    </w:rPr>
  </w:style>
  <w:style w:type="character" w:customStyle="1" w:styleId="EndNoteBibliographyChar">
    <w:name w:val="EndNote Bibliography Char"/>
    <w:link w:val="EndNoteBibliography"/>
    <w:rsid w:val="00C67C68"/>
    <w:rPr>
      <w:rFonts w:ascii="Times New Roman" w:eastAsia="Calibri" w:hAnsi="Times New Roman" w:cs="Times New Roman"/>
      <w:noProof/>
      <w:sz w:val="24"/>
    </w:rPr>
  </w:style>
  <w:style w:type="paragraph" w:customStyle="1" w:styleId="EndNoteBibliographyTitle">
    <w:name w:val="EndNote Bibliography Title"/>
    <w:basedOn w:val="Normal"/>
    <w:link w:val="EndNoteBibliographyTitleChar"/>
    <w:rsid w:val="00BE4261"/>
    <w:pPr>
      <w:jc w:val="center"/>
    </w:pPr>
    <w:rPr>
      <w:noProof/>
    </w:rPr>
  </w:style>
  <w:style w:type="character" w:customStyle="1" w:styleId="DefaultChar">
    <w:name w:val="Default Char"/>
    <w:basedOn w:val="DefaultParagraphFont"/>
    <w:link w:val="Default"/>
    <w:rsid w:val="00BE4261"/>
    <w:rPr>
      <w:rFonts w:ascii="Times New Roman" w:eastAsia="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BE4261"/>
    <w:rPr>
      <w:rFonts w:ascii="Times New Roman" w:eastAsia="Times New Roman" w:hAnsi="Times New Roman" w:cs="Times New Roman"/>
      <w:noProof/>
      <w:color w:val="000000"/>
      <w:sz w:val="24"/>
      <w:szCs w:val="24"/>
      <w:lang w:bidi="fa-IR"/>
    </w:rPr>
  </w:style>
  <w:style w:type="character" w:styleId="Hyperlink">
    <w:name w:val="Hyperlink"/>
    <w:basedOn w:val="DefaultParagraphFont"/>
    <w:uiPriority w:val="99"/>
    <w:unhideWhenUsed/>
    <w:rsid w:val="00141589"/>
    <w:rPr>
      <w:color w:val="0000FF"/>
      <w:u w:val="single"/>
    </w:rPr>
  </w:style>
  <w:style w:type="character" w:styleId="Strong">
    <w:name w:val="Strong"/>
    <w:basedOn w:val="DefaultParagraphFont"/>
    <w:uiPriority w:val="22"/>
    <w:qFormat/>
    <w:rsid w:val="00AA23F4"/>
    <w:rPr>
      <w:b/>
      <w:bCs/>
    </w:rPr>
  </w:style>
  <w:style w:type="table" w:styleId="TableGrid">
    <w:name w:val="Table Grid"/>
    <w:basedOn w:val="TableNormal"/>
    <w:uiPriority w:val="59"/>
    <w:rsid w:val="00C004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0170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3782A"/>
    <w:pPr>
      <w:tabs>
        <w:tab w:val="center" w:pos="4680"/>
        <w:tab w:val="right" w:pos="9360"/>
      </w:tabs>
    </w:pPr>
  </w:style>
  <w:style w:type="character" w:customStyle="1" w:styleId="HeaderChar">
    <w:name w:val="Header Char"/>
    <w:basedOn w:val="DefaultParagraphFont"/>
    <w:link w:val="Header"/>
    <w:uiPriority w:val="99"/>
    <w:rsid w:val="00B3782A"/>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B3782A"/>
    <w:pPr>
      <w:tabs>
        <w:tab w:val="center" w:pos="4680"/>
        <w:tab w:val="right" w:pos="9360"/>
      </w:tabs>
    </w:pPr>
  </w:style>
  <w:style w:type="character" w:customStyle="1" w:styleId="FooterChar">
    <w:name w:val="Footer Char"/>
    <w:basedOn w:val="DefaultParagraphFont"/>
    <w:link w:val="Footer"/>
    <w:uiPriority w:val="99"/>
    <w:rsid w:val="00B3782A"/>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uffinengo%20C%5BAuthor%5D&amp;cauthor=true&amp;cauthor_uid=185026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url?sa=t&amp;rct=j&amp;q=&amp;esrc=s&amp;source=web&amp;cd=1&amp;ved=0ahUKEwjr2OHw3ZzVAhUDPhQKHVZ4CYcQFggpMAA&amp;url=https%3A%2F%2Fwww.fmhs.auckland.ac.nz%2Fassets%2Ffmhs%2Fsom%2Fpsychmed%2Fpetrie%2Fdocs%2F2006_BIPQ.pdf&amp;usg=AFQjCNGQ_imV-RVoPdnPIJokPzZBuoEE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2D90-079A-4F23-8826-2A233C4E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6345</Words>
  <Characters>36169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dc:creator>
  <cp:keywords/>
  <dc:description/>
  <cp:lastModifiedBy>Asus</cp:lastModifiedBy>
  <cp:revision>9</cp:revision>
  <dcterms:created xsi:type="dcterms:W3CDTF">2019-03-20T07:07:00Z</dcterms:created>
  <dcterms:modified xsi:type="dcterms:W3CDTF">2019-03-20T07:09:00Z</dcterms:modified>
</cp:coreProperties>
</file>