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6E" w:rsidRPr="0006276E" w:rsidRDefault="0006276E" w:rsidP="0006276E">
      <w:pPr>
        <w:tabs>
          <w:tab w:val="left" w:pos="2520"/>
        </w:tabs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bidi="fa-IR"/>
        </w:rPr>
      </w:pPr>
      <w:r w:rsidRPr="0006276E">
        <w:rPr>
          <w:rFonts w:ascii="Times New Roman" w:eastAsia="Times New Roman" w:hAnsi="Times New Roman" w:cs="Times New Roman"/>
          <w:noProof/>
          <w:sz w:val="24"/>
          <w:szCs w:val="24"/>
          <w:lang w:bidi="fa-IR"/>
        </w:rPr>
        <w:t xml:space="preserve">Table 1. Comparison of symptoms of </w:t>
      </w:r>
      <w:r w:rsidRPr="0006276E">
        <w:rPr>
          <w:rFonts w:ascii="Times New Roman" w:eastAsia="Calibri" w:hAnsi="Times New Roman" w:cs="Times New Roman"/>
          <w:sz w:val="24"/>
          <w:szCs w:val="24"/>
        </w:rPr>
        <w:t xml:space="preserve">Chronic Tension-Type Headache (CTTH) and </w:t>
      </w:r>
      <w:r w:rsidRPr="0006276E">
        <w:rPr>
          <w:rFonts w:ascii="Times New Roman" w:eastAsia="Calibri" w:hAnsi="Times New Roman" w:cs="Times New Roman"/>
          <w:sz w:val="24"/>
          <w:szCs w:val="24"/>
          <w:lang w:bidi="fa-IR"/>
        </w:rPr>
        <w:t>“</w:t>
      </w:r>
      <w:proofErr w:type="spellStart"/>
      <w:r w:rsidRPr="0006276E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bidi="fa-IR"/>
        </w:rPr>
        <w:t>Bayze</w:t>
      </w:r>
      <w:proofErr w:type="spellEnd"/>
      <w:r w:rsidRPr="0006276E">
        <w:rPr>
          <w:rFonts w:ascii="Times New Roman" w:eastAsia="Times New Roman" w:hAnsi="Times New Roman" w:cs="Times New Roman"/>
          <w:noProof/>
          <w:sz w:val="24"/>
          <w:szCs w:val="24"/>
          <w:lang w:bidi="fa-IR"/>
        </w:rPr>
        <w:t xml:space="preserve">” in Persian Medicine </w:t>
      </w:r>
    </w:p>
    <w:tbl>
      <w:tblPr>
        <w:tblStyle w:val="LightShading1"/>
        <w:tblW w:w="9918" w:type="dxa"/>
        <w:tblLook w:val="04A0" w:firstRow="1" w:lastRow="0" w:firstColumn="1" w:lastColumn="0" w:noHBand="0" w:noVBand="1"/>
      </w:tblPr>
      <w:tblGrid>
        <w:gridCol w:w="648"/>
        <w:gridCol w:w="4140"/>
        <w:gridCol w:w="3330"/>
        <w:gridCol w:w="1800"/>
      </w:tblGrid>
      <w:tr w:rsidR="0006276E" w:rsidRPr="0006276E" w:rsidTr="005B5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4140" w:type="dxa"/>
          </w:tcPr>
          <w:p w:rsidR="0006276E" w:rsidRPr="0006276E" w:rsidRDefault="0006276E" w:rsidP="000627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Calibri" w:hAnsi="Times New Roman" w:cs="Times New Roman"/>
                <w:sz w:val="24"/>
                <w:szCs w:val="24"/>
              </w:rPr>
              <w:t>Chronic Tension-Type Headache</w:t>
            </w:r>
          </w:p>
        </w:tc>
        <w:tc>
          <w:tcPr>
            <w:tcW w:w="3330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“</w:t>
            </w:r>
            <w:proofErr w:type="spellStart"/>
            <w:r w:rsidRPr="0006276E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bidi="fa-IR"/>
              </w:rPr>
              <w:t>Bayze</w:t>
            </w:r>
            <w:proofErr w:type="spellEnd"/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” headache in PM</w:t>
            </w:r>
          </w:p>
        </w:tc>
        <w:tc>
          <w:tcPr>
            <w:tcW w:w="1800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Reference</w:t>
            </w:r>
          </w:p>
        </w:tc>
      </w:tr>
      <w:tr w:rsidR="0006276E" w:rsidRPr="0006276E" w:rsidTr="005B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1</w:t>
            </w:r>
          </w:p>
        </w:tc>
        <w:tc>
          <w:tcPr>
            <w:tcW w:w="4140" w:type="dxa"/>
          </w:tcPr>
          <w:p w:rsidR="0006276E" w:rsidRPr="0006276E" w:rsidRDefault="0006276E" w:rsidP="0006276E">
            <w:pPr>
              <w:tabs>
                <w:tab w:val="left" w:pos="25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76E">
              <w:rPr>
                <w:rFonts w:ascii="Times New Roman" w:eastAsia="Calibri" w:hAnsi="Times New Roman" w:cs="Times New Roman"/>
                <w:sz w:val="24"/>
                <w:szCs w:val="24"/>
              </w:rPr>
              <w:t>Without pulsation</w:t>
            </w:r>
          </w:p>
          <w:p w:rsidR="0006276E" w:rsidRPr="0006276E" w:rsidRDefault="0006276E" w:rsidP="0006276E">
            <w:pPr>
              <w:tabs>
                <w:tab w:val="left" w:pos="25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76E">
              <w:rPr>
                <w:rFonts w:ascii="Times New Roman" w:eastAsia="Calibri" w:hAnsi="Times New Roman" w:cs="Times New Roman"/>
                <w:sz w:val="24"/>
                <w:szCs w:val="24"/>
              </w:rPr>
              <w:t>(pressing or tightening)</w:t>
            </w:r>
          </w:p>
          <w:p w:rsidR="0006276E" w:rsidRPr="0006276E" w:rsidRDefault="0006276E" w:rsidP="0006276E">
            <w:pPr>
              <w:tabs>
                <w:tab w:val="left" w:pos="25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Non </w:t>
            </w:r>
            <w:proofErr w:type="spellStart"/>
            <w:r w:rsidRPr="0006276E">
              <w:rPr>
                <w:rFonts w:ascii="Times New Roman" w:eastAsia="Calibri" w:hAnsi="Times New Roman" w:cs="Times New Roman"/>
                <w:sz w:val="24"/>
                <w:szCs w:val="24"/>
              </w:rPr>
              <w:t>pulsatory</w:t>
            </w:r>
            <w:proofErr w:type="spellEnd"/>
          </w:p>
        </w:tc>
        <w:tc>
          <w:tcPr>
            <w:tcW w:w="1800" w:type="dxa"/>
          </w:tcPr>
          <w:p w:rsidR="0006276E" w:rsidRPr="0006276E" w:rsidRDefault="0006276E" w:rsidP="0006276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06276E">
              <w:rPr>
                <w:rFonts w:ascii="Times New Roman" w:eastAsia="Calibri" w:hAnsi="Times New Roman" w:cs="Times New Roman"/>
                <w:sz w:val="24"/>
                <w:szCs w:val="24"/>
              </w:rPr>
              <w:t>1,3,6,7</w:t>
            </w:r>
          </w:p>
        </w:tc>
      </w:tr>
      <w:tr w:rsidR="0006276E" w:rsidRPr="0006276E" w:rsidTr="005B5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2</w:t>
            </w:r>
          </w:p>
        </w:tc>
        <w:tc>
          <w:tcPr>
            <w:tcW w:w="4140" w:type="dxa"/>
          </w:tcPr>
          <w:p w:rsidR="0006276E" w:rsidRPr="0006276E" w:rsidRDefault="0006276E" w:rsidP="0006276E">
            <w:pPr>
              <w:tabs>
                <w:tab w:val="left" w:pos="25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 xml:space="preserve">Accompanied by photophobia </w:t>
            </w:r>
          </w:p>
          <w:p w:rsidR="0006276E" w:rsidRPr="0006276E" w:rsidRDefault="0006276E" w:rsidP="0006276E">
            <w:pPr>
              <w:tabs>
                <w:tab w:val="left" w:pos="25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and phonophobia</w:t>
            </w:r>
          </w:p>
        </w:tc>
        <w:tc>
          <w:tcPr>
            <w:tcW w:w="3330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The affected person avoids the light and sounds</w:t>
            </w:r>
          </w:p>
        </w:tc>
        <w:tc>
          <w:tcPr>
            <w:tcW w:w="1800" w:type="dxa"/>
          </w:tcPr>
          <w:p w:rsidR="0006276E" w:rsidRPr="0006276E" w:rsidRDefault="0006276E" w:rsidP="0006276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 xml:space="preserve">1,3,6,7 </w:t>
            </w:r>
          </w:p>
        </w:tc>
      </w:tr>
      <w:tr w:rsidR="0006276E" w:rsidRPr="0006276E" w:rsidTr="005B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3</w:t>
            </w:r>
          </w:p>
        </w:tc>
        <w:tc>
          <w:tcPr>
            <w:tcW w:w="4140" w:type="dxa"/>
          </w:tcPr>
          <w:p w:rsidR="0006276E" w:rsidRPr="0006276E" w:rsidRDefault="0006276E" w:rsidP="0006276E">
            <w:pPr>
              <w:tabs>
                <w:tab w:val="left" w:pos="25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 xml:space="preserve">Tenderness around skull </w:t>
            </w:r>
          </w:p>
          <w:p w:rsidR="0006276E" w:rsidRPr="0006276E" w:rsidRDefault="0006276E" w:rsidP="0006276E">
            <w:pPr>
              <w:tabs>
                <w:tab w:val="left" w:pos="25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aggrevating by touching</w:t>
            </w:r>
          </w:p>
        </w:tc>
        <w:tc>
          <w:tcPr>
            <w:tcW w:w="3330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Touching the head makes the patient uncomfortable</w:t>
            </w:r>
          </w:p>
        </w:tc>
        <w:tc>
          <w:tcPr>
            <w:tcW w:w="1800" w:type="dxa"/>
          </w:tcPr>
          <w:p w:rsidR="0006276E" w:rsidRPr="0006276E" w:rsidRDefault="0006276E" w:rsidP="0006276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76E">
              <w:rPr>
                <w:rFonts w:ascii="Times New Roman" w:eastAsia="Calibri" w:hAnsi="Times New Roman" w:cs="Times New Roman"/>
                <w:sz w:val="24"/>
                <w:szCs w:val="24"/>
              </w:rPr>
              <w:t>1,3,6,7</w:t>
            </w:r>
          </w:p>
          <w:p w:rsidR="0006276E" w:rsidRPr="0006276E" w:rsidRDefault="0006276E" w:rsidP="0006276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276E" w:rsidRPr="0006276E" w:rsidTr="005B5AB0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4</w:t>
            </w:r>
          </w:p>
        </w:tc>
        <w:tc>
          <w:tcPr>
            <w:tcW w:w="4140" w:type="dxa"/>
          </w:tcPr>
          <w:p w:rsidR="0006276E" w:rsidRPr="0006276E" w:rsidRDefault="0006276E" w:rsidP="0006276E">
            <w:pPr>
              <w:tabs>
                <w:tab w:val="left" w:pos="25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Bilateral involvement</w:t>
            </w:r>
          </w:p>
        </w:tc>
        <w:tc>
          <w:tcPr>
            <w:tcW w:w="3330" w:type="dxa"/>
          </w:tcPr>
          <w:p w:rsidR="0006276E" w:rsidRPr="0006276E" w:rsidRDefault="0006276E" w:rsidP="00062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The pain</w:t>
            </w:r>
            <w:r w:rsidRPr="0006276E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surrounding the head</w:t>
            </w:r>
          </w:p>
        </w:tc>
        <w:tc>
          <w:tcPr>
            <w:tcW w:w="1800" w:type="dxa"/>
          </w:tcPr>
          <w:p w:rsidR="0006276E" w:rsidRPr="0006276E" w:rsidRDefault="0006276E" w:rsidP="0006276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 xml:space="preserve">1,3,6,7 </w:t>
            </w:r>
          </w:p>
        </w:tc>
      </w:tr>
      <w:tr w:rsidR="0006276E" w:rsidRPr="0006276E" w:rsidTr="005B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5</w:t>
            </w:r>
          </w:p>
        </w:tc>
        <w:tc>
          <w:tcPr>
            <w:tcW w:w="4140" w:type="dxa"/>
          </w:tcPr>
          <w:p w:rsidR="0006276E" w:rsidRPr="0006276E" w:rsidRDefault="0006276E" w:rsidP="0006276E">
            <w:pPr>
              <w:tabs>
                <w:tab w:val="left" w:pos="25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 xml:space="preserve">Daily or very recurrent </w:t>
            </w:r>
          </w:p>
          <w:p w:rsidR="0006276E" w:rsidRPr="0006276E" w:rsidRDefault="0006276E" w:rsidP="0006276E">
            <w:pPr>
              <w:tabs>
                <w:tab w:val="left" w:pos="25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 xml:space="preserve">headache episodes </w:t>
            </w:r>
          </w:p>
        </w:tc>
        <w:tc>
          <w:tcPr>
            <w:tcW w:w="3330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Headache begins with the smallest cause</w:t>
            </w:r>
          </w:p>
        </w:tc>
        <w:tc>
          <w:tcPr>
            <w:tcW w:w="1800" w:type="dxa"/>
          </w:tcPr>
          <w:p w:rsidR="0006276E" w:rsidRPr="0006276E" w:rsidRDefault="0006276E" w:rsidP="0006276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1,3,6,7</w:t>
            </w:r>
          </w:p>
          <w:p w:rsidR="0006276E" w:rsidRPr="0006276E" w:rsidRDefault="0006276E" w:rsidP="0006276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06276E" w:rsidRPr="0006276E" w:rsidTr="005B5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6</w:t>
            </w:r>
          </w:p>
        </w:tc>
        <w:tc>
          <w:tcPr>
            <w:tcW w:w="4140" w:type="dxa"/>
          </w:tcPr>
          <w:p w:rsidR="0006276E" w:rsidRPr="0006276E" w:rsidRDefault="0006276E" w:rsidP="0006276E">
            <w:pPr>
              <w:tabs>
                <w:tab w:val="left" w:pos="25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 xml:space="preserve">No definitive cure; treatments </w:t>
            </w:r>
          </w:p>
          <w:p w:rsidR="0006276E" w:rsidRPr="0006276E" w:rsidRDefault="0006276E" w:rsidP="0006276E">
            <w:pPr>
              <w:tabs>
                <w:tab w:val="left" w:pos="25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are mainly symptomatic and palliative</w:t>
            </w:r>
          </w:p>
        </w:tc>
        <w:tc>
          <w:tcPr>
            <w:tcW w:w="3330" w:type="dxa"/>
          </w:tcPr>
          <w:p w:rsidR="0006276E" w:rsidRPr="0006276E" w:rsidRDefault="0006276E" w:rsidP="0006276E">
            <w:pPr>
              <w:tabs>
                <w:tab w:val="left" w:pos="252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fa-IR"/>
              </w:rPr>
              <w:t>Hard to cure, hard to treat</w:t>
            </w:r>
          </w:p>
        </w:tc>
        <w:tc>
          <w:tcPr>
            <w:tcW w:w="1800" w:type="dxa"/>
          </w:tcPr>
          <w:p w:rsidR="0006276E" w:rsidRPr="0006276E" w:rsidRDefault="0006276E" w:rsidP="0006276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r w:rsidRPr="0006276E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1,3,6,7</w:t>
            </w:r>
          </w:p>
        </w:tc>
      </w:tr>
    </w:tbl>
    <w:p w:rsidR="004F778B" w:rsidRDefault="004F778B">
      <w:bookmarkStart w:id="0" w:name="_GoBack"/>
      <w:bookmarkEnd w:id="0"/>
    </w:p>
    <w:sectPr w:rsidR="004F7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6E"/>
    <w:rsid w:val="0006276E"/>
    <w:rsid w:val="004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next w:val="LightShading"/>
    <w:uiPriority w:val="60"/>
    <w:rsid w:val="0006276E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0627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next w:val="LightShading"/>
    <w:uiPriority w:val="60"/>
    <w:rsid w:val="0006276E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0627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>diakov.net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2019-05-19T23:42:00Z</dcterms:created>
  <dcterms:modified xsi:type="dcterms:W3CDTF">2019-05-19T23:43:00Z</dcterms:modified>
</cp:coreProperties>
</file>