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16" w:rsidRPr="00960016" w:rsidRDefault="00960016" w:rsidP="00960016">
      <w:pPr>
        <w:spacing w:line="480" w:lineRule="auto"/>
        <w:jc w:val="center"/>
        <w:rPr>
          <w:rFonts w:asciiTheme="majorBidi" w:hAnsiTheme="majorBidi" w:cstheme="majorBidi"/>
          <w:sz w:val="32"/>
          <w:szCs w:val="32"/>
          <w:u w:val="single"/>
        </w:rPr>
      </w:pPr>
      <w:r w:rsidRPr="00960016">
        <w:rPr>
          <w:rFonts w:asciiTheme="majorBidi" w:hAnsiTheme="majorBidi" w:cstheme="majorBidi"/>
          <w:sz w:val="32"/>
          <w:szCs w:val="32"/>
          <w:u w:val="single"/>
        </w:rPr>
        <w:t>Cover Letter</w:t>
      </w:r>
    </w:p>
    <w:p w:rsidR="00960016" w:rsidRPr="00960016" w:rsidRDefault="00960016" w:rsidP="00960016">
      <w:pPr>
        <w:spacing w:line="480" w:lineRule="auto"/>
        <w:jc w:val="both"/>
        <w:rPr>
          <w:rFonts w:asciiTheme="majorBidi" w:hAnsiTheme="majorBidi" w:cstheme="majorBidi"/>
          <w:sz w:val="24"/>
          <w:szCs w:val="24"/>
        </w:rPr>
      </w:pPr>
      <w:r w:rsidRPr="00960016">
        <w:rPr>
          <w:rFonts w:asciiTheme="majorBidi" w:hAnsiTheme="majorBidi" w:cstheme="majorBidi"/>
          <w:sz w:val="24"/>
          <w:szCs w:val="24"/>
        </w:rPr>
        <w:t xml:space="preserve">Due to the increasing use of preadjusted systems in comprehensive orthodontic treatment it appears necessary to asses these systems and compare them with the conventional standard edgewise system. The present study is a historical cohort, observational study on 127 patients. Root parallelism was compared between standard edgewise and a specific preadjusted system. </w:t>
      </w:r>
    </w:p>
    <w:p w:rsidR="004E5FEB" w:rsidRPr="00960016" w:rsidRDefault="00960016" w:rsidP="00960016">
      <w:pPr>
        <w:spacing w:line="480" w:lineRule="auto"/>
        <w:jc w:val="both"/>
        <w:rPr>
          <w:rFonts w:asciiTheme="majorBidi" w:hAnsiTheme="majorBidi" w:cstheme="majorBidi"/>
          <w:sz w:val="24"/>
          <w:szCs w:val="24"/>
        </w:rPr>
      </w:pPr>
      <w:r w:rsidRPr="00960016">
        <w:rPr>
          <w:rFonts w:asciiTheme="majorBidi" w:hAnsiTheme="majorBidi" w:cstheme="majorBidi"/>
          <w:sz w:val="24"/>
          <w:szCs w:val="24"/>
        </w:rPr>
        <w:t xml:space="preserve"> We therefore submit our manuscript entitled “Root parallelism of canine and second premolar in preadjusted and standard edgewise systems: a comparative study” authored by M. </w:t>
      </w:r>
      <w:proofErr w:type="spellStart"/>
      <w:r w:rsidRPr="00960016">
        <w:rPr>
          <w:rFonts w:asciiTheme="majorBidi" w:hAnsiTheme="majorBidi" w:cstheme="majorBidi"/>
          <w:sz w:val="24"/>
          <w:szCs w:val="24"/>
        </w:rPr>
        <w:t>Oshagh</w:t>
      </w:r>
      <w:proofErr w:type="spellEnd"/>
      <w:r w:rsidRPr="00960016">
        <w:rPr>
          <w:rFonts w:asciiTheme="majorBidi" w:hAnsiTheme="majorBidi" w:cstheme="majorBidi"/>
          <w:sz w:val="24"/>
          <w:szCs w:val="24"/>
        </w:rPr>
        <w:t xml:space="preserve">, Sh. </w:t>
      </w:r>
      <w:proofErr w:type="spellStart"/>
      <w:r w:rsidRPr="00960016">
        <w:rPr>
          <w:rFonts w:asciiTheme="majorBidi" w:hAnsiTheme="majorBidi" w:cstheme="majorBidi"/>
          <w:sz w:val="24"/>
          <w:szCs w:val="24"/>
        </w:rPr>
        <w:t>Momeni</w:t>
      </w:r>
      <w:proofErr w:type="spellEnd"/>
      <w:r w:rsidRPr="00960016">
        <w:rPr>
          <w:rFonts w:asciiTheme="majorBidi" w:hAnsiTheme="majorBidi" w:cstheme="majorBidi"/>
          <w:sz w:val="24"/>
          <w:szCs w:val="24"/>
        </w:rPr>
        <w:t xml:space="preserve"> </w:t>
      </w:r>
      <w:proofErr w:type="spellStart"/>
      <w:r w:rsidRPr="00960016">
        <w:rPr>
          <w:rFonts w:asciiTheme="majorBidi" w:hAnsiTheme="majorBidi" w:cstheme="majorBidi"/>
          <w:sz w:val="24"/>
          <w:szCs w:val="24"/>
        </w:rPr>
        <w:t>Danaei</w:t>
      </w:r>
      <w:proofErr w:type="spellEnd"/>
      <w:r w:rsidRPr="00960016">
        <w:rPr>
          <w:rFonts w:asciiTheme="majorBidi" w:hAnsiTheme="majorBidi" w:cstheme="majorBidi"/>
          <w:sz w:val="24"/>
          <w:szCs w:val="24"/>
        </w:rPr>
        <w:t xml:space="preserve">, Y. </w:t>
      </w:r>
      <w:proofErr w:type="spellStart"/>
      <w:r w:rsidRPr="00960016">
        <w:rPr>
          <w:rFonts w:asciiTheme="majorBidi" w:hAnsiTheme="majorBidi" w:cstheme="majorBidi"/>
          <w:sz w:val="24"/>
          <w:szCs w:val="24"/>
        </w:rPr>
        <w:t>Khaksar</w:t>
      </w:r>
      <w:proofErr w:type="spellEnd"/>
      <w:r w:rsidRPr="00960016">
        <w:rPr>
          <w:rFonts w:asciiTheme="majorBidi" w:hAnsiTheme="majorBidi" w:cstheme="majorBidi"/>
          <w:sz w:val="24"/>
          <w:szCs w:val="24"/>
        </w:rPr>
        <w:t xml:space="preserve"> and AR. </w:t>
      </w:r>
      <w:proofErr w:type="spellStart"/>
      <w:r w:rsidRPr="00960016">
        <w:rPr>
          <w:rFonts w:asciiTheme="majorBidi" w:hAnsiTheme="majorBidi" w:cstheme="majorBidi"/>
          <w:sz w:val="24"/>
          <w:szCs w:val="24"/>
        </w:rPr>
        <w:t>Sardarian</w:t>
      </w:r>
      <w:proofErr w:type="spellEnd"/>
      <w:r w:rsidRPr="00960016">
        <w:rPr>
          <w:rFonts w:asciiTheme="majorBidi" w:hAnsiTheme="majorBidi" w:cstheme="majorBidi"/>
          <w:sz w:val="24"/>
          <w:szCs w:val="24"/>
        </w:rPr>
        <w:t xml:space="preserve"> to your journal. We certify that the present manuscript has not been published</w:t>
      </w:r>
      <w:r>
        <w:rPr>
          <w:rFonts w:asciiTheme="majorBidi" w:hAnsiTheme="majorBidi" w:cstheme="majorBidi"/>
          <w:sz w:val="24"/>
          <w:szCs w:val="24"/>
        </w:rPr>
        <w:t xml:space="preserve"> or is being considered for publishing</w:t>
      </w:r>
      <w:r w:rsidRPr="00960016">
        <w:rPr>
          <w:rFonts w:asciiTheme="majorBidi" w:hAnsiTheme="majorBidi" w:cstheme="majorBidi"/>
          <w:sz w:val="24"/>
          <w:szCs w:val="24"/>
        </w:rPr>
        <w:t xml:space="preserve"> elsewhere.</w:t>
      </w:r>
      <w:bookmarkStart w:id="0" w:name="_GoBack"/>
      <w:bookmarkEnd w:id="0"/>
    </w:p>
    <w:sectPr w:rsidR="004E5FEB" w:rsidRPr="00960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16"/>
    <w:rsid w:val="004E5FEB"/>
    <w:rsid w:val="0096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95254-3C23-4F3B-8F30-747EA77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Tahsilat Takmili</dc:creator>
  <cp:keywords/>
  <dc:description/>
  <cp:lastModifiedBy>Tahsilat Takmili</cp:lastModifiedBy>
  <cp:revision>1</cp:revision>
  <dcterms:created xsi:type="dcterms:W3CDTF">2013-12-06T21:19:00Z</dcterms:created>
  <dcterms:modified xsi:type="dcterms:W3CDTF">2013-12-06T21:21:00Z</dcterms:modified>
</cp:coreProperties>
</file>