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C2C" w:rsidRPr="00545745" w:rsidRDefault="00DA6C2C" w:rsidP="00DA6C2C">
      <w:pPr>
        <w:spacing w:line="276" w:lineRule="auto"/>
        <w:jc w:val="center"/>
        <w:rPr>
          <w:rFonts w:cs="Times New Roman"/>
          <w:b/>
          <w:bCs/>
          <w:sz w:val="32"/>
          <w:szCs w:val="32"/>
          <w:rtl/>
          <w:lang w:bidi="fa-IR"/>
        </w:rPr>
      </w:pPr>
      <w:r w:rsidRPr="00545745">
        <w:rPr>
          <w:rFonts w:cs="Times New Roman"/>
          <w:b/>
          <w:bCs/>
          <w:sz w:val="32"/>
          <w:szCs w:val="32"/>
        </w:rPr>
        <w:t xml:space="preserve">Status </w:t>
      </w:r>
      <w:proofErr w:type="spellStart"/>
      <w:r w:rsidRPr="00545745">
        <w:rPr>
          <w:rFonts w:cs="Times New Roman"/>
          <w:b/>
          <w:bCs/>
          <w:sz w:val="32"/>
          <w:szCs w:val="32"/>
        </w:rPr>
        <w:t>epilepticus</w:t>
      </w:r>
      <w:proofErr w:type="spellEnd"/>
      <w:r w:rsidRPr="00545745">
        <w:rPr>
          <w:rFonts w:cs="Times New Roman"/>
          <w:b/>
          <w:bCs/>
          <w:sz w:val="32"/>
          <w:szCs w:val="32"/>
        </w:rPr>
        <w:t xml:space="preserve"> in adults: A 6-year retrospective study</w:t>
      </w:r>
    </w:p>
    <w:p w:rsidR="00DA6C2C" w:rsidRDefault="00DA6C2C" w:rsidP="00DA6C2C">
      <w:pPr>
        <w:spacing w:line="360" w:lineRule="auto"/>
        <w:jc w:val="right"/>
        <w:rPr>
          <w:rFonts w:cs="Times New Roman"/>
          <w:b/>
          <w:bCs/>
          <w:sz w:val="24"/>
          <w:szCs w:val="24"/>
          <w:rtl/>
          <w:lang w:bidi="fa-IR"/>
        </w:rPr>
      </w:pPr>
    </w:p>
    <w:p w:rsidR="00DA6C2C" w:rsidRDefault="00DA6C2C" w:rsidP="00DA6C2C">
      <w:pPr>
        <w:spacing w:line="360" w:lineRule="auto"/>
        <w:jc w:val="right"/>
        <w:rPr>
          <w:rFonts w:cs="Times New Roman"/>
          <w:b/>
          <w:bCs/>
          <w:sz w:val="24"/>
          <w:szCs w:val="24"/>
          <w:rtl/>
          <w:lang w:bidi="fa-IR"/>
        </w:rPr>
      </w:pPr>
    </w:p>
    <w:p w:rsidR="00DA6C2C" w:rsidRDefault="00DA6C2C" w:rsidP="00DA6C2C">
      <w:pPr>
        <w:spacing w:line="360" w:lineRule="auto"/>
        <w:jc w:val="right"/>
        <w:rPr>
          <w:rFonts w:cs="Times New Roman"/>
          <w:b/>
          <w:bCs/>
          <w:sz w:val="24"/>
          <w:szCs w:val="24"/>
          <w:lang w:bidi="fa-IR"/>
        </w:rPr>
      </w:pPr>
    </w:p>
    <w:p w:rsidR="00DA6C2C" w:rsidRPr="00A812CC" w:rsidRDefault="00DA6C2C" w:rsidP="00DA6C2C">
      <w:pPr>
        <w:spacing w:line="360" w:lineRule="auto"/>
        <w:jc w:val="right"/>
        <w:rPr>
          <w:rFonts w:cs="Times New Roman"/>
          <w:b/>
          <w:bCs/>
          <w:sz w:val="28"/>
          <w:szCs w:val="28"/>
          <w:lang w:bidi="fa-IR"/>
        </w:rPr>
      </w:pPr>
      <w:r w:rsidRPr="00A812CC">
        <w:rPr>
          <w:rFonts w:cs="Times New Roman"/>
          <w:b/>
          <w:bCs/>
          <w:sz w:val="28"/>
          <w:szCs w:val="28"/>
          <w:lang w:bidi="fa-IR"/>
        </w:rPr>
        <w:t>Abstract</w:t>
      </w:r>
    </w:p>
    <w:p w:rsidR="00DA6C2C" w:rsidRDefault="00DA6C2C" w:rsidP="00DA6C2C">
      <w:pPr>
        <w:bidi w:val="0"/>
        <w:spacing w:line="360" w:lineRule="auto"/>
        <w:jc w:val="both"/>
        <w:rPr>
          <w:rFonts w:asciiTheme="majorBidi" w:hAnsiTheme="majorBidi" w:cstheme="majorBidi"/>
          <w:sz w:val="24"/>
          <w:szCs w:val="24"/>
        </w:rPr>
      </w:pPr>
      <w:r w:rsidRPr="00A812CC">
        <w:rPr>
          <w:rFonts w:asciiTheme="majorBidi" w:hAnsiTheme="majorBidi" w:cstheme="majorBidi"/>
          <w:b/>
          <w:bCs/>
          <w:sz w:val="24"/>
          <w:szCs w:val="24"/>
        </w:rPr>
        <w:t>Background:</w:t>
      </w:r>
      <w:r w:rsidRPr="00A812CC">
        <w:rPr>
          <w:rFonts w:asciiTheme="majorBidi" w:hAnsiTheme="majorBidi" w:cstheme="majorBidi"/>
          <w:sz w:val="24"/>
          <w:szCs w:val="24"/>
        </w:rPr>
        <w:t xml:space="preserve"> Status </w:t>
      </w:r>
      <w:proofErr w:type="spellStart"/>
      <w:r w:rsidRPr="00A812CC">
        <w:rPr>
          <w:rFonts w:asciiTheme="majorBidi" w:hAnsiTheme="majorBidi" w:cstheme="majorBidi"/>
          <w:sz w:val="24"/>
          <w:szCs w:val="24"/>
        </w:rPr>
        <w:t>epilepticus</w:t>
      </w:r>
      <w:proofErr w:type="spellEnd"/>
      <w:r w:rsidRPr="00A812CC">
        <w:rPr>
          <w:rFonts w:asciiTheme="majorBidi" w:hAnsiTheme="majorBidi" w:cstheme="majorBidi"/>
          <w:sz w:val="24"/>
          <w:szCs w:val="24"/>
        </w:rPr>
        <w:t xml:space="preserve"> (SE) is one of the most common neurological emergencies with high mortality and morbidity. This study aims to determine the most common causes and outcomes of SE in adult patients from Fars Province in southern Iran.</w:t>
      </w:r>
      <w:r w:rsidRPr="00A812CC">
        <w:rPr>
          <w:rFonts w:asciiTheme="majorBidi" w:eastAsia="Calibri" w:hAnsiTheme="majorBidi" w:cstheme="majorBidi"/>
          <w:b/>
          <w:bCs/>
          <w:sz w:val="24"/>
          <w:szCs w:val="24"/>
          <w:lang w:bidi="fa-IR"/>
        </w:rPr>
        <w:t xml:space="preserve"> Materials and Methods:</w:t>
      </w:r>
      <w:r w:rsidRPr="00A812CC">
        <w:rPr>
          <w:rFonts w:asciiTheme="majorBidi" w:hAnsiTheme="majorBidi" w:cstheme="majorBidi"/>
          <w:sz w:val="24"/>
          <w:szCs w:val="24"/>
        </w:rPr>
        <w:t xml:space="preserve"> 134 patients with SE (either convulsive or non-convulsive), aged over 18 years, admitted to the </w:t>
      </w:r>
      <w:proofErr w:type="spellStart"/>
      <w:r w:rsidRPr="00A812CC">
        <w:rPr>
          <w:rFonts w:asciiTheme="majorBidi" w:hAnsiTheme="majorBidi" w:cstheme="majorBidi"/>
          <w:sz w:val="24"/>
          <w:szCs w:val="24"/>
        </w:rPr>
        <w:t>Namazee</w:t>
      </w:r>
      <w:proofErr w:type="spellEnd"/>
      <w:r w:rsidRPr="00A812CC">
        <w:rPr>
          <w:rFonts w:asciiTheme="majorBidi" w:hAnsiTheme="majorBidi" w:cstheme="majorBidi"/>
          <w:sz w:val="24"/>
          <w:szCs w:val="24"/>
        </w:rPr>
        <w:t xml:space="preserve"> Hospital, were enrolled </w:t>
      </w:r>
      <w:r w:rsidRPr="00A812CC">
        <w:rPr>
          <w:rFonts w:asciiTheme="majorBidi" w:hAnsiTheme="majorBidi" w:cstheme="majorBidi"/>
          <w:color w:val="000000"/>
          <w:sz w:val="24"/>
          <w:szCs w:val="24"/>
        </w:rPr>
        <w:t>from January 2006 to February 2012</w:t>
      </w:r>
      <w:r w:rsidRPr="00A812CC">
        <w:rPr>
          <w:rFonts w:asciiTheme="majorBidi" w:hAnsiTheme="majorBidi" w:cstheme="majorBidi"/>
          <w:sz w:val="24"/>
          <w:szCs w:val="24"/>
        </w:rPr>
        <w:t xml:space="preserve">. A questionnaire was used to collect patients' demographics and disease characteristics and their outcomes according to Glasgow Outcome Scale (GOS). </w:t>
      </w:r>
      <w:r w:rsidRPr="00A812CC">
        <w:rPr>
          <w:rFonts w:asciiTheme="majorBidi" w:eastAsia="Calibri" w:hAnsiTheme="majorBidi" w:cstheme="majorBidi"/>
          <w:sz w:val="24"/>
          <w:szCs w:val="24"/>
          <w:lang w:bidi="fa-IR"/>
        </w:rPr>
        <w:t>Statistical analyses were performed using SPSS version 15 software. P value less than 0.05 was considered statistically significant.</w:t>
      </w:r>
      <w:r w:rsidRPr="00A812CC">
        <w:rPr>
          <w:rFonts w:asciiTheme="majorBidi" w:eastAsia="Calibri" w:hAnsiTheme="majorBidi" w:cstheme="majorBidi"/>
          <w:b/>
          <w:bCs/>
          <w:sz w:val="24"/>
          <w:szCs w:val="24"/>
          <w:lang w:bidi="fa-IR"/>
        </w:rPr>
        <w:t xml:space="preserve"> Results:</w:t>
      </w:r>
      <w:r w:rsidRPr="00A812CC">
        <w:rPr>
          <w:rFonts w:asciiTheme="majorBidi" w:hAnsiTheme="majorBidi" w:cstheme="majorBidi"/>
          <w:sz w:val="24"/>
          <w:szCs w:val="24"/>
        </w:rPr>
        <w:t xml:space="preserve"> </w:t>
      </w:r>
      <w:r w:rsidRPr="00A812CC">
        <w:rPr>
          <w:rFonts w:asciiTheme="majorBidi" w:hAnsiTheme="majorBidi" w:cstheme="majorBidi"/>
          <w:sz w:val="24"/>
          <w:szCs w:val="24"/>
          <w:lang w:bidi="fa-IR"/>
        </w:rPr>
        <w:t>70 patients were female and 64 were male with mean age of 42.97±19.66</w:t>
      </w:r>
      <w:r w:rsidRPr="00A812CC">
        <w:rPr>
          <w:rFonts w:asciiTheme="majorBidi" w:eastAsia="Calibri" w:hAnsiTheme="majorBidi" w:cstheme="majorBidi"/>
          <w:sz w:val="24"/>
          <w:szCs w:val="24"/>
          <w:lang w:bidi="fa-IR"/>
        </w:rPr>
        <w:t xml:space="preserve"> year</w:t>
      </w:r>
      <w:r w:rsidRPr="00A812CC">
        <w:rPr>
          <w:rFonts w:asciiTheme="majorBidi" w:hAnsiTheme="majorBidi" w:cstheme="majorBidi"/>
          <w:sz w:val="24"/>
          <w:szCs w:val="24"/>
        </w:rPr>
        <w:t>s</w:t>
      </w:r>
      <w:r w:rsidRPr="00A812CC">
        <w:rPr>
          <w:rFonts w:asciiTheme="majorBidi" w:hAnsiTheme="majorBidi" w:cstheme="majorBidi"/>
          <w:sz w:val="24"/>
          <w:szCs w:val="24"/>
          <w:lang w:bidi="fa-IR"/>
        </w:rPr>
        <w:t xml:space="preserve"> and 39.42±18.89</w:t>
      </w:r>
      <w:r w:rsidRPr="00A812CC">
        <w:rPr>
          <w:rFonts w:asciiTheme="majorBidi" w:eastAsia="Calibri" w:hAnsiTheme="majorBidi" w:cstheme="majorBidi"/>
          <w:sz w:val="24"/>
          <w:szCs w:val="24"/>
          <w:lang w:bidi="fa-IR"/>
        </w:rPr>
        <w:t xml:space="preserve"> year</w:t>
      </w:r>
      <w:r w:rsidRPr="00A812CC">
        <w:rPr>
          <w:rFonts w:asciiTheme="majorBidi" w:hAnsiTheme="majorBidi" w:cstheme="majorBidi"/>
          <w:sz w:val="24"/>
          <w:szCs w:val="24"/>
        </w:rPr>
        <w:t>s, respectively. Sixty-two patients had a history of epilepsy, and 72 had no history of epilepsy. Antiepileptic drugs (ADEs) withdrawal and cerebral infarction were the most common causes of SE in epileptics and non-epileptics, respectively. 123 patients (91.8%) had generalized tonic-</w:t>
      </w:r>
      <w:proofErr w:type="spellStart"/>
      <w:r w:rsidRPr="00A812CC">
        <w:rPr>
          <w:rFonts w:asciiTheme="majorBidi" w:hAnsiTheme="majorBidi" w:cstheme="majorBidi"/>
          <w:sz w:val="24"/>
          <w:szCs w:val="24"/>
        </w:rPr>
        <w:t>clonic</w:t>
      </w:r>
      <w:proofErr w:type="spellEnd"/>
      <w:r w:rsidRPr="00A812CC">
        <w:rPr>
          <w:rFonts w:asciiTheme="majorBidi" w:hAnsiTheme="majorBidi" w:cstheme="majorBidi"/>
          <w:sz w:val="24"/>
          <w:szCs w:val="24"/>
        </w:rPr>
        <w:t xml:space="preserve"> SE. 30 patients (22.4%) could return to work and 33 (24.6%) died during hospitalization. There was a significant relationship between </w:t>
      </w:r>
      <w:r w:rsidRPr="00A812CC">
        <w:rPr>
          <w:rFonts w:asciiTheme="majorBidi" w:hAnsiTheme="majorBidi" w:cstheme="majorBidi"/>
          <w:color w:val="000000"/>
          <w:sz w:val="24"/>
          <w:szCs w:val="24"/>
        </w:rPr>
        <w:t>mortality and age over 60 years (P</w:t>
      </w:r>
      <w:r w:rsidRPr="00A812CC">
        <w:rPr>
          <w:rFonts w:asciiTheme="majorBidi" w:eastAsia="Calibri" w:hAnsiTheme="majorBidi" w:cstheme="majorBidi"/>
          <w:sz w:val="24"/>
          <w:szCs w:val="24"/>
          <w:lang w:bidi="fa-IR"/>
        </w:rPr>
        <w:t>&lt;0.001</w:t>
      </w:r>
      <w:r w:rsidRPr="00A812CC">
        <w:rPr>
          <w:rFonts w:asciiTheme="majorBidi" w:hAnsiTheme="majorBidi" w:cstheme="majorBidi"/>
          <w:color w:val="000000"/>
          <w:sz w:val="24"/>
          <w:szCs w:val="24"/>
        </w:rPr>
        <w:t>), and mortality and cerebral infarction or anoxia (P= 0.022).</w:t>
      </w:r>
      <w:r w:rsidRPr="00A812CC">
        <w:rPr>
          <w:rFonts w:asciiTheme="majorBidi" w:eastAsia="Calibri" w:hAnsiTheme="majorBidi" w:cstheme="majorBidi"/>
          <w:b/>
          <w:bCs/>
          <w:sz w:val="24"/>
          <w:szCs w:val="24"/>
          <w:lang w:bidi="fa-IR"/>
        </w:rPr>
        <w:t xml:space="preserve"> Conclusion:</w:t>
      </w:r>
      <w:r w:rsidRPr="00A812CC">
        <w:rPr>
          <w:rFonts w:asciiTheme="majorBidi" w:hAnsiTheme="majorBidi" w:cstheme="majorBidi"/>
          <w:sz w:val="24"/>
          <w:szCs w:val="24"/>
        </w:rPr>
        <w:t xml:space="preserve"> </w:t>
      </w:r>
      <w:proofErr w:type="gramStart"/>
      <w:r w:rsidRPr="00A812CC">
        <w:rPr>
          <w:rFonts w:asciiTheme="majorBidi" w:hAnsiTheme="majorBidi" w:cstheme="majorBidi"/>
          <w:sz w:val="24"/>
          <w:szCs w:val="24"/>
        </w:rPr>
        <w:t>ADEs</w:t>
      </w:r>
      <w:proofErr w:type="gramEnd"/>
      <w:r w:rsidRPr="00A812CC">
        <w:rPr>
          <w:rFonts w:asciiTheme="majorBidi" w:hAnsiTheme="majorBidi" w:cstheme="majorBidi"/>
          <w:sz w:val="24"/>
          <w:szCs w:val="24"/>
        </w:rPr>
        <w:t xml:space="preserve"> withdrawal in the epileptic patients was the main cause of SE (28.40% of the total population and 62% of the epileptic patients) which is preventable with patients and family education. This study showed that high mortality and morbidity was significantly related to the increasing age and etiology of SE. </w:t>
      </w:r>
    </w:p>
    <w:p w:rsidR="00DA6C2C" w:rsidRDefault="00DA6C2C" w:rsidP="00DA6C2C">
      <w:pPr>
        <w:bidi w:val="0"/>
        <w:spacing w:line="360" w:lineRule="auto"/>
        <w:jc w:val="both"/>
        <w:rPr>
          <w:rFonts w:asciiTheme="majorBidi" w:hAnsiTheme="majorBidi" w:cstheme="majorBidi"/>
          <w:sz w:val="24"/>
          <w:szCs w:val="24"/>
        </w:rPr>
      </w:pPr>
    </w:p>
    <w:p w:rsidR="00DA6C2C" w:rsidRPr="00A812CC" w:rsidRDefault="00DA6C2C" w:rsidP="00DA6C2C">
      <w:pPr>
        <w:bidi w:val="0"/>
        <w:spacing w:line="360" w:lineRule="auto"/>
        <w:jc w:val="both"/>
        <w:rPr>
          <w:rFonts w:asciiTheme="majorBidi" w:hAnsiTheme="majorBidi" w:cstheme="majorBidi"/>
          <w:sz w:val="24"/>
          <w:szCs w:val="24"/>
        </w:rPr>
      </w:pPr>
    </w:p>
    <w:p w:rsidR="00DA6C2C" w:rsidRPr="00A812CC" w:rsidRDefault="00DA6C2C" w:rsidP="00DA6C2C">
      <w:pPr>
        <w:bidi w:val="0"/>
        <w:spacing w:line="360" w:lineRule="auto"/>
        <w:rPr>
          <w:rFonts w:asciiTheme="majorBidi" w:hAnsiTheme="majorBidi" w:cstheme="majorBidi"/>
          <w:sz w:val="24"/>
          <w:szCs w:val="24"/>
        </w:rPr>
      </w:pPr>
    </w:p>
    <w:p w:rsidR="00DA6C2C" w:rsidRDefault="00DA6C2C" w:rsidP="00DA6C2C">
      <w:pPr>
        <w:bidi w:val="0"/>
        <w:spacing w:line="360" w:lineRule="auto"/>
        <w:rPr>
          <w:lang w:bidi="fa-IR"/>
        </w:rPr>
      </w:pPr>
      <w:r w:rsidRPr="00073691">
        <w:rPr>
          <w:rFonts w:cs="Times New Roman"/>
          <w:b/>
          <w:bCs/>
          <w:sz w:val="28"/>
          <w:szCs w:val="28"/>
        </w:rPr>
        <w:t>Keywords:</w:t>
      </w:r>
      <w:r w:rsidRPr="0020595B">
        <w:rPr>
          <w:rFonts w:cs="Times New Roman"/>
          <w:sz w:val="24"/>
          <w:szCs w:val="24"/>
        </w:rPr>
        <w:t xml:space="preserve"> </w:t>
      </w:r>
      <w:r>
        <w:rPr>
          <w:rFonts w:cs="Times New Roman"/>
          <w:sz w:val="24"/>
          <w:szCs w:val="24"/>
        </w:rPr>
        <w:t>S</w:t>
      </w:r>
      <w:r w:rsidRPr="0020595B">
        <w:rPr>
          <w:rFonts w:cs="Times New Roman"/>
          <w:sz w:val="24"/>
          <w:szCs w:val="24"/>
        </w:rPr>
        <w:t xml:space="preserve">tatus </w:t>
      </w:r>
      <w:proofErr w:type="spellStart"/>
      <w:r>
        <w:rPr>
          <w:rFonts w:cs="Times New Roman"/>
          <w:sz w:val="24"/>
          <w:szCs w:val="24"/>
        </w:rPr>
        <w:t>E</w:t>
      </w:r>
      <w:r w:rsidRPr="0020595B">
        <w:rPr>
          <w:rFonts w:cs="Times New Roman"/>
          <w:sz w:val="24"/>
          <w:szCs w:val="24"/>
        </w:rPr>
        <w:t>pilepticus</w:t>
      </w:r>
      <w:proofErr w:type="spellEnd"/>
      <w:r>
        <w:rPr>
          <w:rFonts w:cs="Times New Roman"/>
          <w:sz w:val="24"/>
          <w:szCs w:val="24"/>
        </w:rPr>
        <w:t>; A</w:t>
      </w:r>
      <w:r w:rsidRPr="0020595B">
        <w:rPr>
          <w:rFonts w:cs="Times New Roman"/>
          <w:sz w:val="24"/>
          <w:szCs w:val="24"/>
        </w:rPr>
        <w:t>dult</w:t>
      </w:r>
      <w:r>
        <w:rPr>
          <w:rFonts w:cs="Times New Roman"/>
          <w:sz w:val="24"/>
          <w:szCs w:val="24"/>
        </w:rPr>
        <w:t>; P</w:t>
      </w:r>
      <w:r w:rsidRPr="0020595B">
        <w:rPr>
          <w:rFonts w:cs="Times New Roman"/>
          <w:sz w:val="24"/>
          <w:szCs w:val="24"/>
        </w:rPr>
        <w:t>rognosis</w:t>
      </w:r>
      <w:r>
        <w:rPr>
          <w:rFonts w:cs="Times New Roman"/>
          <w:sz w:val="24"/>
          <w:szCs w:val="24"/>
        </w:rPr>
        <w:t xml:space="preserve">; </w:t>
      </w:r>
      <w:r w:rsidRPr="005F60D5">
        <w:rPr>
          <w:rFonts w:cs="Times New Roman"/>
          <w:sz w:val="24"/>
          <w:szCs w:val="24"/>
        </w:rPr>
        <w:t xml:space="preserve">Glasgow </w:t>
      </w:r>
      <w:r>
        <w:rPr>
          <w:rFonts w:cs="Times New Roman"/>
          <w:sz w:val="24"/>
          <w:szCs w:val="24"/>
        </w:rPr>
        <w:t>O</w:t>
      </w:r>
      <w:r w:rsidRPr="005F60D5">
        <w:rPr>
          <w:rFonts w:cs="Times New Roman"/>
          <w:sz w:val="24"/>
          <w:szCs w:val="24"/>
        </w:rPr>
        <w:t xml:space="preserve">utcome </w:t>
      </w:r>
      <w:r>
        <w:rPr>
          <w:rFonts w:cs="Times New Roman"/>
          <w:sz w:val="24"/>
          <w:szCs w:val="24"/>
        </w:rPr>
        <w:t>S</w:t>
      </w:r>
      <w:r w:rsidRPr="005F60D5">
        <w:rPr>
          <w:rFonts w:cs="Times New Roman"/>
          <w:sz w:val="24"/>
          <w:szCs w:val="24"/>
        </w:rPr>
        <w:t xml:space="preserve">cale </w:t>
      </w:r>
    </w:p>
    <w:p w:rsidR="005713F9" w:rsidRDefault="005713F9">
      <w:pPr>
        <w:rPr>
          <w:rFonts w:hint="cs"/>
          <w:rtl/>
          <w:lang w:bidi="fa-IR"/>
        </w:rPr>
      </w:pPr>
    </w:p>
    <w:sectPr w:rsidR="005713F9" w:rsidSect="00AB13DC">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08" w:rsidRDefault="00491108" w:rsidP="00C62FA2">
      <w:r>
        <w:separator/>
      </w:r>
    </w:p>
  </w:endnote>
  <w:endnote w:type="continuationSeparator" w:id="0">
    <w:p w:rsidR="00491108" w:rsidRDefault="00491108" w:rsidP="00C62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3DC" w:rsidRDefault="00491108" w:rsidP="00AB13DC">
    <w:pPr>
      <w:pStyle w:val="Footer"/>
      <w:bidi w:val="0"/>
      <w:jc w:val="center"/>
    </w:pPr>
  </w:p>
  <w:p w:rsidR="00AB13DC" w:rsidRDefault="00491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08" w:rsidRDefault="00491108" w:rsidP="00C62FA2">
      <w:r>
        <w:separator/>
      </w:r>
    </w:p>
  </w:footnote>
  <w:footnote w:type="continuationSeparator" w:id="0">
    <w:p w:rsidR="00491108" w:rsidRDefault="00491108" w:rsidP="00C62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5641C"/>
    <w:rsid w:val="0000400F"/>
    <w:rsid w:val="000041DF"/>
    <w:rsid w:val="000061DD"/>
    <w:rsid w:val="000100C7"/>
    <w:rsid w:val="000504B0"/>
    <w:rsid w:val="00081A6A"/>
    <w:rsid w:val="00083B5B"/>
    <w:rsid w:val="00086EB4"/>
    <w:rsid w:val="0009660A"/>
    <w:rsid w:val="000A61A6"/>
    <w:rsid w:val="000B52A1"/>
    <w:rsid w:val="000B6F09"/>
    <w:rsid w:val="000C05F2"/>
    <w:rsid w:val="000C25A1"/>
    <w:rsid w:val="000D6794"/>
    <w:rsid w:val="001119AE"/>
    <w:rsid w:val="00112613"/>
    <w:rsid w:val="00113EFD"/>
    <w:rsid w:val="00127E6E"/>
    <w:rsid w:val="00160368"/>
    <w:rsid w:val="00165453"/>
    <w:rsid w:val="0017169C"/>
    <w:rsid w:val="00186ECB"/>
    <w:rsid w:val="00191EDC"/>
    <w:rsid w:val="001B255D"/>
    <w:rsid w:val="001B7563"/>
    <w:rsid w:val="001D077D"/>
    <w:rsid w:val="001D7D5A"/>
    <w:rsid w:val="001F00C2"/>
    <w:rsid w:val="0023117C"/>
    <w:rsid w:val="0023662B"/>
    <w:rsid w:val="00243EFF"/>
    <w:rsid w:val="0024739B"/>
    <w:rsid w:val="00254A71"/>
    <w:rsid w:val="002570E9"/>
    <w:rsid w:val="002670C9"/>
    <w:rsid w:val="00291C78"/>
    <w:rsid w:val="00292DC2"/>
    <w:rsid w:val="002C1AF8"/>
    <w:rsid w:val="002C2C04"/>
    <w:rsid w:val="002C3E79"/>
    <w:rsid w:val="002E176C"/>
    <w:rsid w:val="0030590D"/>
    <w:rsid w:val="003263D6"/>
    <w:rsid w:val="00333A4C"/>
    <w:rsid w:val="003422F4"/>
    <w:rsid w:val="00350906"/>
    <w:rsid w:val="00366D08"/>
    <w:rsid w:val="00381501"/>
    <w:rsid w:val="003935AD"/>
    <w:rsid w:val="00393C70"/>
    <w:rsid w:val="003C124D"/>
    <w:rsid w:val="003E1C32"/>
    <w:rsid w:val="003E603E"/>
    <w:rsid w:val="003F2CCC"/>
    <w:rsid w:val="003F659D"/>
    <w:rsid w:val="00415336"/>
    <w:rsid w:val="00445F1A"/>
    <w:rsid w:val="00446976"/>
    <w:rsid w:val="00446A0A"/>
    <w:rsid w:val="00453B04"/>
    <w:rsid w:val="0046708B"/>
    <w:rsid w:val="004709F4"/>
    <w:rsid w:val="00491108"/>
    <w:rsid w:val="004C1D25"/>
    <w:rsid w:val="004C24CA"/>
    <w:rsid w:val="004D56B2"/>
    <w:rsid w:val="00515F13"/>
    <w:rsid w:val="005503FA"/>
    <w:rsid w:val="00557FA9"/>
    <w:rsid w:val="00562F3D"/>
    <w:rsid w:val="005665B2"/>
    <w:rsid w:val="005713F9"/>
    <w:rsid w:val="0057259F"/>
    <w:rsid w:val="00573F17"/>
    <w:rsid w:val="00575258"/>
    <w:rsid w:val="00594506"/>
    <w:rsid w:val="005A0138"/>
    <w:rsid w:val="005A0448"/>
    <w:rsid w:val="005B4BCA"/>
    <w:rsid w:val="005B7EB1"/>
    <w:rsid w:val="005F6A78"/>
    <w:rsid w:val="006227AF"/>
    <w:rsid w:val="0064669B"/>
    <w:rsid w:val="00655E9E"/>
    <w:rsid w:val="006A2C52"/>
    <w:rsid w:val="006A6655"/>
    <w:rsid w:val="006B3065"/>
    <w:rsid w:val="006D288F"/>
    <w:rsid w:val="006E2D8B"/>
    <w:rsid w:val="006F5994"/>
    <w:rsid w:val="007157C7"/>
    <w:rsid w:val="00735B2B"/>
    <w:rsid w:val="007426B8"/>
    <w:rsid w:val="007855F3"/>
    <w:rsid w:val="00797FCF"/>
    <w:rsid w:val="007A7E5A"/>
    <w:rsid w:val="007B0779"/>
    <w:rsid w:val="007D7027"/>
    <w:rsid w:val="007E0E12"/>
    <w:rsid w:val="007E5D38"/>
    <w:rsid w:val="00822112"/>
    <w:rsid w:val="008531EA"/>
    <w:rsid w:val="008629FD"/>
    <w:rsid w:val="0086527F"/>
    <w:rsid w:val="00867353"/>
    <w:rsid w:val="00873691"/>
    <w:rsid w:val="00886BF5"/>
    <w:rsid w:val="008944A7"/>
    <w:rsid w:val="008A52E1"/>
    <w:rsid w:val="008A7C87"/>
    <w:rsid w:val="008D428E"/>
    <w:rsid w:val="008F02AD"/>
    <w:rsid w:val="00941831"/>
    <w:rsid w:val="00966AED"/>
    <w:rsid w:val="0097520C"/>
    <w:rsid w:val="009953B8"/>
    <w:rsid w:val="009C1A1D"/>
    <w:rsid w:val="009E2DF6"/>
    <w:rsid w:val="009E70BA"/>
    <w:rsid w:val="00A0350C"/>
    <w:rsid w:val="00A152DB"/>
    <w:rsid w:val="00A37E5F"/>
    <w:rsid w:val="00A40344"/>
    <w:rsid w:val="00A43090"/>
    <w:rsid w:val="00A45C7E"/>
    <w:rsid w:val="00A64014"/>
    <w:rsid w:val="00AA02EB"/>
    <w:rsid w:val="00AB3B86"/>
    <w:rsid w:val="00AB5D57"/>
    <w:rsid w:val="00AF63E7"/>
    <w:rsid w:val="00B105AC"/>
    <w:rsid w:val="00B26496"/>
    <w:rsid w:val="00B41F0F"/>
    <w:rsid w:val="00B6110E"/>
    <w:rsid w:val="00B67646"/>
    <w:rsid w:val="00BA6CED"/>
    <w:rsid w:val="00BE00AA"/>
    <w:rsid w:val="00C134F0"/>
    <w:rsid w:val="00C1736A"/>
    <w:rsid w:val="00C24D3E"/>
    <w:rsid w:val="00C62FA2"/>
    <w:rsid w:val="00C659CE"/>
    <w:rsid w:val="00C96502"/>
    <w:rsid w:val="00CA05AF"/>
    <w:rsid w:val="00CA1275"/>
    <w:rsid w:val="00CB741B"/>
    <w:rsid w:val="00CC0614"/>
    <w:rsid w:val="00CC6290"/>
    <w:rsid w:val="00CD2620"/>
    <w:rsid w:val="00CE495D"/>
    <w:rsid w:val="00D113F9"/>
    <w:rsid w:val="00D27B57"/>
    <w:rsid w:val="00D40113"/>
    <w:rsid w:val="00D41E6C"/>
    <w:rsid w:val="00D73EE3"/>
    <w:rsid w:val="00D75518"/>
    <w:rsid w:val="00D84ED0"/>
    <w:rsid w:val="00D858E2"/>
    <w:rsid w:val="00DA0A9C"/>
    <w:rsid w:val="00DA6C2C"/>
    <w:rsid w:val="00DC1768"/>
    <w:rsid w:val="00DD6055"/>
    <w:rsid w:val="00DF2885"/>
    <w:rsid w:val="00DF7A79"/>
    <w:rsid w:val="00E54E9E"/>
    <w:rsid w:val="00E5641C"/>
    <w:rsid w:val="00E71766"/>
    <w:rsid w:val="00E83DB5"/>
    <w:rsid w:val="00E90FDA"/>
    <w:rsid w:val="00E97B70"/>
    <w:rsid w:val="00EA4C2A"/>
    <w:rsid w:val="00EB6C47"/>
    <w:rsid w:val="00EC0F49"/>
    <w:rsid w:val="00EC50B2"/>
    <w:rsid w:val="00ED2CB1"/>
    <w:rsid w:val="00EE340A"/>
    <w:rsid w:val="00EE601C"/>
    <w:rsid w:val="00F50BE6"/>
    <w:rsid w:val="00F85C76"/>
    <w:rsid w:val="00F91D52"/>
    <w:rsid w:val="00FA0E8C"/>
    <w:rsid w:val="00FA21E1"/>
    <w:rsid w:val="00FB3555"/>
    <w:rsid w:val="00FC4285"/>
    <w:rsid w:val="00FD1BC0"/>
    <w:rsid w:val="00FD510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1C"/>
    <w:pPr>
      <w:bidi/>
      <w:spacing w:after="0" w:line="240" w:lineRule="auto"/>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41C"/>
    <w:pPr>
      <w:tabs>
        <w:tab w:val="center" w:pos="4513"/>
        <w:tab w:val="right" w:pos="9026"/>
      </w:tabs>
    </w:pPr>
  </w:style>
  <w:style w:type="character" w:customStyle="1" w:styleId="FooterChar">
    <w:name w:val="Footer Char"/>
    <w:basedOn w:val="DefaultParagraphFont"/>
    <w:link w:val="Footer"/>
    <w:uiPriority w:val="99"/>
    <w:rsid w:val="00E5641C"/>
    <w:rPr>
      <w:rFonts w:ascii="Times New Roman" w:eastAsia="Times New Roman" w:hAnsi="Times New Roman" w:cs="Traditional Arabic"/>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SNRC</dc:creator>
  <cp:lastModifiedBy>SNRC</cp:lastModifiedBy>
  <cp:revision>2</cp:revision>
  <dcterms:created xsi:type="dcterms:W3CDTF">2013-12-07T06:09:00Z</dcterms:created>
  <dcterms:modified xsi:type="dcterms:W3CDTF">2013-12-07T06:18:00Z</dcterms:modified>
</cp:coreProperties>
</file>