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b/>
          <w:bCs/>
          <w:sz w:val="24"/>
          <w:szCs w:val="28"/>
        </w:rPr>
      </w:pPr>
      <w:r w:rsidRPr="003732D3">
        <w:rPr>
          <w:rFonts w:cs="Times New Roman"/>
          <w:b/>
          <w:bCs/>
          <w:sz w:val="24"/>
          <w:szCs w:val="28"/>
        </w:rPr>
        <w:t>Table 1: Staging T, N and M and tumor stage in Squamous Cell Carcinoma separately for each patient</w:t>
      </w: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b/>
          <w:bCs/>
          <w:sz w:val="24"/>
          <w:szCs w:val="28"/>
        </w:rPr>
      </w:pPr>
    </w:p>
    <w:tbl>
      <w:tblPr>
        <w:tblW w:w="4800" w:type="dxa"/>
        <w:tblBorders>
          <w:top w:val="single" w:sz="2" w:space="0" w:color="D99594"/>
          <w:bottom w:val="single" w:sz="2" w:space="0" w:color="D99594"/>
          <w:insideH w:val="single" w:sz="2" w:space="0" w:color="D99594"/>
          <w:insideV w:val="single" w:sz="2" w:space="0" w:color="D99594"/>
        </w:tblBorders>
        <w:tblLook w:val="04A0" w:firstRow="1" w:lastRow="0" w:firstColumn="1" w:lastColumn="0" w:noHBand="0" w:noVBand="1"/>
      </w:tblPr>
      <w:tblGrid>
        <w:gridCol w:w="1710"/>
        <w:gridCol w:w="1073"/>
        <w:gridCol w:w="1044"/>
        <w:gridCol w:w="1028"/>
        <w:gridCol w:w="1425"/>
      </w:tblGrid>
      <w:tr w:rsidR="00402CC7" w:rsidRPr="003732D3" w:rsidTr="001D6241">
        <w:trPr>
          <w:trHeight w:val="450"/>
        </w:trPr>
        <w:tc>
          <w:tcPr>
            <w:tcW w:w="960" w:type="dxa"/>
            <w:tcBorders>
              <w:top w:val="nil"/>
              <w:bottom w:val="single" w:sz="12" w:space="0" w:color="D99594"/>
              <w:right w:val="nil"/>
            </w:tcBorders>
            <w:shd w:val="clear" w:color="auto" w:fill="FFFFFF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B Compset"/>
                <w:color w:val="000000"/>
              </w:rPr>
              <w:t>Patients number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D99594"/>
              <w:right w:val="nil"/>
            </w:tcBorders>
            <w:shd w:val="clear" w:color="auto" w:fill="FFFFFF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b/>
                <w:bCs/>
                <w:color w:val="000000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D99594"/>
              <w:right w:val="nil"/>
            </w:tcBorders>
            <w:shd w:val="clear" w:color="auto" w:fill="FFFFFF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b/>
                <w:bCs/>
                <w:color w:val="00000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D99594"/>
              <w:right w:val="nil"/>
            </w:tcBorders>
            <w:shd w:val="clear" w:color="auto" w:fill="FFFFFF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b/>
                <w:bCs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D99594"/>
            </w:tcBorders>
            <w:shd w:val="clear" w:color="auto" w:fill="FFFFFF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  <w:rtl/>
              </w:rPr>
            </w:pPr>
            <w:r w:rsidRPr="003732D3">
              <w:rPr>
                <w:rFonts w:ascii="Calibri" w:hAnsi="Calibri" w:cs="Times New Roman"/>
                <w:b/>
                <w:bCs/>
                <w:color w:val="000000"/>
              </w:rPr>
              <w:t>Stage</w:t>
            </w:r>
          </w:p>
        </w:tc>
      </w:tr>
      <w:tr w:rsidR="00402CC7" w:rsidRPr="003732D3" w:rsidTr="001D6241">
        <w:trPr>
          <w:trHeight w:val="109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4a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4A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1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2c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4A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3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4a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4A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F2DBDB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2b</w:t>
            </w:r>
          </w:p>
        </w:tc>
        <w:tc>
          <w:tcPr>
            <w:tcW w:w="960" w:type="dxa"/>
            <w:shd w:val="clear" w:color="auto" w:fill="F2DBDB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F2DBDB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2</w:t>
            </w:r>
          </w:p>
        </w:tc>
      </w:tr>
      <w:tr w:rsidR="00402CC7" w:rsidRPr="003732D3" w:rsidTr="001D6241">
        <w:trPr>
          <w:trHeight w:val="300"/>
        </w:trPr>
        <w:tc>
          <w:tcPr>
            <w:tcW w:w="960" w:type="dxa"/>
            <w:shd w:val="clear" w:color="auto" w:fill="auto"/>
          </w:tcPr>
          <w:p w:rsidR="00402CC7" w:rsidRPr="003732D3" w:rsidRDefault="00402CC7" w:rsidP="00402CC7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76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2b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402CC7" w:rsidRPr="003732D3" w:rsidRDefault="00402CC7" w:rsidP="001D6241">
            <w:pPr>
              <w:ind w:right="-76"/>
              <w:jc w:val="center"/>
              <w:rPr>
                <w:rFonts w:ascii="Calibri" w:hAnsi="Calibri" w:cs="Times New Roman"/>
                <w:color w:val="000000"/>
              </w:rPr>
            </w:pPr>
            <w:r w:rsidRPr="003732D3">
              <w:rPr>
                <w:rFonts w:ascii="Calibri" w:hAnsi="Calibri" w:cs="Times New Roman"/>
                <w:color w:val="000000"/>
              </w:rPr>
              <w:t>2</w:t>
            </w:r>
          </w:p>
        </w:tc>
      </w:tr>
    </w:tbl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b/>
          <w:bCs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b/>
          <w:bCs/>
          <w:sz w:val="24"/>
          <w:szCs w:val="28"/>
        </w:rPr>
      </w:pPr>
      <w:r w:rsidRPr="003732D3">
        <w:rPr>
          <w:rFonts w:cs="Times New Roman"/>
          <w:b/>
          <w:bCs/>
          <w:sz w:val="24"/>
          <w:szCs w:val="28"/>
        </w:rPr>
        <w:t xml:space="preserve">Chart 1: Activity level of thioredoxin reductase enzyme based on micromoles per minute per milliliter in tumoral and Normal tissues of patients with Squamous Cell Carcinoma  </w:t>
      </w: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  <w:r w:rsidRPr="003732D3">
        <w:rPr>
          <w:noProof/>
          <w:lang w:bidi="ar-SA"/>
        </w:rPr>
        <w:drawing>
          <wp:inline distT="0" distB="0" distL="0" distR="0" wp14:anchorId="6434E9E7" wp14:editId="5CFE3A5A">
            <wp:extent cx="5495925" cy="3209925"/>
            <wp:effectExtent l="0" t="0" r="0" b="0"/>
            <wp:docPr id="1" name="Char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b/>
          <w:bCs/>
          <w:sz w:val="24"/>
          <w:szCs w:val="28"/>
        </w:rPr>
      </w:pPr>
      <w:r w:rsidRPr="003732D3">
        <w:rPr>
          <w:rFonts w:cs="Times New Roman"/>
          <w:b/>
          <w:bCs/>
          <w:sz w:val="24"/>
          <w:szCs w:val="28"/>
        </w:rPr>
        <w:t>Table 3: Ratings of the percentage and intensity of the staining of healthy and tumoral tissues in Squamous Cell Carcinoma in immunohistochemical staining separately for each patient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100"/>
        <w:gridCol w:w="955"/>
        <w:gridCol w:w="1163"/>
        <w:gridCol w:w="1559"/>
        <w:gridCol w:w="1560"/>
        <w:gridCol w:w="1275"/>
      </w:tblGrid>
      <w:tr w:rsidR="00402CC7" w:rsidRPr="003732D3" w:rsidTr="001D6241">
        <w:tc>
          <w:tcPr>
            <w:tcW w:w="888" w:type="dxa"/>
            <w:vMerge w:val="restart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113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7612" w:type="dxa"/>
            <w:gridSpan w:val="6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Immunohistochemical staining (based on the score)</w:t>
            </w:r>
          </w:p>
        </w:tc>
      </w:tr>
      <w:tr w:rsidR="00402CC7" w:rsidRPr="003732D3" w:rsidTr="001D6241">
        <w:tc>
          <w:tcPr>
            <w:tcW w:w="888" w:type="dxa"/>
            <w:vMerge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Tumoral</w:t>
            </w:r>
          </w:p>
        </w:tc>
      </w:tr>
      <w:tr w:rsidR="00402CC7" w:rsidRPr="003732D3" w:rsidTr="001D6241">
        <w:tc>
          <w:tcPr>
            <w:tcW w:w="888" w:type="dxa"/>
            <w:vMerge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Percentage of stained cells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Staining intensity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Percentage of stained cells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Staining intensity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2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02CC7" w:rsidRPr="003732D3" w:rsidTr="001D6241">
        <w:tc>
          <w:tcPr>
            <w:tcW w:w="888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-55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3.15789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9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1.31579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ind w:left="0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4.47368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3.84211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2.42105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2CC7" w:rsidRPr="003732D3" w:rsidRDefault="00402CC7" w:rsidP="001D6241">
            <w:pPr>
              <w:tabs>
                <w:tab w:val="right" w:pos="1343"/>
              </w:tabs>
              <w:spacing w:line="16" w:lineRule="atLeast"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3732D3">
              <w:rPr>
                <w:rFonts w:ascii="Calibri" w:hAnsi="Calibri" w:cs="Times New Roman"/>
                <w:color w:val="000000"/>
                <w:sz w:val="20"/>
                <w:szCs w:val="20"/>
              </w:rPr>
              <w:t>6.26316</w:t>
            </w:r>
          </w:p>
        </w:tc>
      </w:tr>
    </w:tbl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  <w:r w:rsidRPr="003732D3">
        <w:rPr>
          <w:noProof/>
          <w:lang w:bidi="ar-SA"/>
        </w:rPr>
        <w:drawing>
          <wp:inline distT="0" distB="0" distL="0" distR="0" wp14:anchorId="20117D11" wp14:editId="59F7BE01">
            <wp:extent cx="5724525" cy="3695700"/>
            <wp:effectExtent l="0" t="0" r="9525" b="0"/>
            <wp:docPr id="2" name="Picture 13" descr="D:\propozal\MSc\maghale\SCC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pozal\MSc\maghale\SCC\Untitl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ascii="Calibri" w:hAnsi="Calibri"/>
        </w:rPr>
      </w:pPr>
    </w:p>
    <w:p w:rsidR="00402CC7" w:rsidRPr="003732D3" w:rsidRDefault="00402CC7" w:rsidP="00402CC7">
      <w:pPr>
        <w:spacing w:before="100" w:beforeAutospacing="1" w:after="100" w:afterAutospacing="1"/>
        <w:ind w:left="0"/>
        <w:jc w:val="both"/>
        <w:rPr>
          <w:rFonts w:cs="Times New Roman"/>
          <w:sz w:val="24"/>
          <w:szCs w:val="28"/>
        </w:rPr>
      </w:pPr>
      <w:r w:rsidRPr="003732D3">
        <w:rPr>
          <w:rFonts w:cs="Times New Roman"/>
          <w:sz w:val="24"/>
          <w:szCs w:val="28"/>
        </w:rPr>
        <w:t>Figure 1: Immunohistochemical staining of thioredoxin in laryngeal cells. A: Tumor cells with severe staining in 95% of the cells and weak staining in 30% of non-dysplastic mucous cells. B: Normal mucosal cells with moderate staining in 50% of the cells. C: Non-tumoral mucosal cells with weak staining in 10% of the cells and tumoral cells with severe staining in 100% of the cells. D: Tumoral cells with moderate staining in 95% of the cells. (40x magnification)</w:t>
      </w:r>
    </w:p>
    <w:p w:rsidR="002F2F65" w:rsidRDefault="002F2F65">
      <w:bookmarkStart w:id="0" w:name="_GoBack"/>
      <w:bookmarkEnd w:id="0"/>
    </w:p>
    <w:sectPr w:rsidR="002F2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47F41"/>
    <w:multiLevelType w:val="hybridMultilevel"/>
    <w:tmpl w:val="5F303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C7"/>
    <w:rsid w:val="002F2F65"/>
    <w:rsid w:val="0040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562AD8-2590-4EE9-96C2-E54E38CF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CC7"/>
    <w:pPr>
      <w:spacing w:after="0" w:line="360" w:lineRule="auto"/>
      <w:ind w:left="567"/>
    </w:pPr>
    <w:rPr>
      <w:rFonts w:ascii="Times New Roman" w:eastAsia="Calibri" w:hAnsi="Times New Roman" w:cs="B Zar"/>
      <w:sz w:val="28"/>
      <w:szCs w:val="3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Normal tissue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3.0400029999999999E-3</c:v>
                </c:pt>
                <c:pt idx="1">
                  <c:v>1.0927983E-2</c:v>
                </c:pt>
                <c:pt idx="2">
                  <c:v>7.5920190000000002E-3</c:v>
                </c:pt>
                <c:pt idx="3">
                  <c:v>1.9801770000000001E-3</c:v>
                </c:pt>
                <c:pt idx="4">
                  <c:v>1.334528E-3</c:v>
                </c:pt>
                <c:pt idx="5">
                  <c:v>2.6958809999999998E-3</c:v>
                </c:pt>
                <c:pt idx="6">
                  <c:v>6.6550120000000001E-3</c:v>
                </c:pt>
                <c:pt idx="7">
                  <c:v>1.0687567E-2</c:v>
                </c:pt>
                <c:pt idx="8">
                  <c:v>1.4182436E-2</c:v>
                </c:pt>
                <c:pt idx="9">
                  <c:v>2.4469054E-2</c:v>
                </c:pt>
                <c:pt idx="10">
                  <c:v>9.1225200000000001E-4</c:v>
                </c:pt>
                <c:pt idx="11">
                  <c:v>3.3305069999999999E-3</c:v>
                </c:pt>
                <c:pt idx="12">
                  <c:v>1.8458490000000001E-3</c:v>
                </c:pt>
                <c:pt idx="13">
                  <c:v>1.8458490000000001E-3</c:v>
                </c:pt>
                <c:pt idx="14">
                  <c:v>1.025827E-3</c:v>
                </c:pt>
                <c:pt idx="15">
                  <c:v>4.5342589999999997E-3</c:v>
                </c:pt>
                <c:pt idx="16">
                  <c:v>4.3265459999999997E-3</c:v>
                </c:pt>
                <c:pt idx="17">
                  <c:v>2.3804239999999999E-3</c:v>
                </c:pt>
                <c:pt idx="18">
                  <c:v>2.0663639999999998E-3</c:v>
                </c:pt>
                <c:pt idx="19">
                  <c:v>1.0462360000000001E-3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tumoral  tissue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4.4140819999999997E-3</c:v>
                </c:pt>
                <c:pt idx="1">
                  <c:v>1.838157E-3</c:v>
                </c:pt>
                <c:pt idx="2">
                  <c:v>1.4098350000000001E-2</c:v>
                </c:pt>
                <c:pt idx="3">
                  <c:v>1.436925E-2</c:v>
                </c:pt>
                <c:pt idx="4">
                  <c:v>7.1142089999999998E-3</c:v>
                </c:pt>
                <c:pt idx="5">
                  <c:v>4.9226510000000001E-3</c:v>
                </c:pt>
                <c:pt idx="6">
                  <c:v>1.3463882999999999E-2</c:v>
                </c:pt>
                <c:pt idx="7">
                  <c:v>1.1251852E-2</c:v>
                </c:pt>
                <c:pt idx="8">
                  <c:v>1.2664254E-2</c:v>
                </c:pt>
                <c:pt idx="9">
                  <c:v>1.8945449E-2</c:v>
                </c:pt>
                <c:pt idx="10">
                  <c:v>1.0303138999999999E-2</c:v>
                </c:pt>
                <c:pt idx="11">
                  <c:v>2.9837779999999999E-3</c:v>
                </c:pt>
                <c:pt idx="12">
                  <c:v>3.5744769999999999E-3</c:v>
                </c:pt>
                <c:pt idx="13">
                  <c:v>7.8834920000000006E-3</c:v>
                </c:pt>
                <c:pt idx="14">
                  <c:v>1.025827E-3</c:v>
                </c:pt>
                <c:pt idx="15">
                  <c:v>3.6119329999999999E-3</c:v>
                </c:pt>
                <c:pt idx="16">
                  <c:v>1.0121882E-2</c:v>
                </c:pt>
                <c:pt idx="17">
                  <c:v>2.4246620000000002E-3</c:v>
                </c:pt>
                <c:pt idx="18">
                  <c:v>7.3243889999999997E-3</c:v>
                </c:pt>
                <c:pt idx="19">
                  <c:v>1.0271919999999999E-3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5705288"/>
        <c:axId val="525705680"/>
      </c:barChart>
      <c:catAx>
        <c:axId val="525705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5705680"/>
        <c:crosses val="autoZero"/>
        <c:auto val="1"/>
        <c:lblAlgn val="ctr"/>
        <c:lblOffset val="100"/>
        <c:noMultiLvlLbl val="0"/>
      </c:catAx>
      <c:valAx>
        <c:axId val="525705680"/>
        <c:scaling>
          <c:orientation val="minMax"/>
        </c:scaling>
        <c:delete val="0"/>
        <c:axPos val="l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5705288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1</cp:revision>
  <dcterms:created xsi:type="dcterms:W3CDTF">2016-07-25T07:34:00Z</dcterms:created>
  <dcterms:modified xsi:type="dcterms:W3CDTF">2016-07-25T07:34:00Z</dcterms:modified>
</cp:coreProperties>
</file>