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6D2" w:rsidRDefault="00CA36D2" w:rsidP="009233B2">
      <w:pPr>
        <w:jc w:val="center"/>
        <w:rPr>
          <w:b/>
          <w:bCs/>
          <w:sz w:val="28"/>
          <w:szCs w:val="28"/>
        </w:rPr>
      </w:pPr>
      <w:r w:rsidRPr="00CA668D">
        <w:rPr>
          <w:b/>
          <w:bCs/>
          <w:sz w:val="28"/>
          <w:szCs w:val="28"/>
        </w:rPr>
        <w:t xml:space="preserve">Successful Treatment of Chronic Scalp </w:t>
      </w:r>
      <w:proofErr w:type="spellStart"/>
      <w:r w:rsidRPr="00CA668D">
        <w:rPr>
          <w:b/>
          <w:bCs/>
          <w:sz w:val="28"/>
          <w:szCs w:val="28"/>
        </w:rPr>
        <w:t>Seborrheic</w:t>
      </w:r>
      <w:proofErr w:type="spellEnd"/>
      <w:r w:rsidRPr="00CA668D">
        <w:rPr>
          <w:b/>
          <w:bCs/>
          <w:sz w:val="28"/>
          <w:szCs w:val="28"/>
        </w:rPr>
        <w:t xml:space="preserve"> Dermatitis Using Traditional Persian Medicine: Case Report</w:t>
      </w:r>
      <w:r>
        <w:rPr>
          <w:b/>
          <w:bCs/>
          <w:sz w:val="28"/>
          <w:szCs w:val="28"/>
        </w:rPr>
        <w:t xml:space="preserve"> and Literature Review</w:t>
      </w:r>
    </w:p>
    <w:p w:rsidR="00CA36D2" w:rsidRPr="00FD6BBA" w:rsidRDefault="00CA36D2" w:rsidP="009233B2">
      <w:pPr>
        <w:jc w:val="center"/>
      </w:pPr>
      <w:r w:rsidRPr="00FD6BBA">
        <w:t xml:space="preserve">Running title: Treatment of </w:t>
      </w:r>
      <w:proofErr w:type="spellStart"/>
      <w:r w:rsidRPr="00FD6BBA">
        <w:t>Seborrheic</w:t>
      </w:r>
      <w:proofErr w:type="spellEnd"/>
      <w:r w:rsidRPr="00FD6BBA">
        <w:t xml:space="preserve"> Dermatitis with TPM</w:t>
      </w:r>
    </w:p>
    <w:p w:rsidR="00CA36D2" w:rsidRDefault="00CA36D2">
      <w:pPr>
        <w:jc w:val="center"/>
        <w:rPr>
          <w:sz w:val="22"/>
          <w:szCs w:val="22"/>
          <w:vertAlign w:val="superscript"/>
          <w:lang w:val="en-US"/>
        </w:rPr>
      </w:pPr>
      <w:r w:rsidRPr="00CC0F76">
        <w:rPr>
          <w:sz w:val="22"/>
          <w:szCs w:val="22"/>
        </w:rPr>
        <w:t xml:space="preserve">Mohammad </w:t>
      </w:r>
      <w:proofErr w:type="spellStart"/>
      <w:r w:rsidRPr="00CC0F76">
        <w:rPr>
          <w:sz w:val="22"/>
          <w:szCs w:val="22"/>
        </w:rPr>
        <w:t>Mahdi</w:t>
      </w:r>
      <w:proofErr w:type="spellEnd"/>
      <w:r w:rsidRPr="00CC0F76">
        <w:rPr>
          <w:sz w:val="22"/>
          <w:szCs w:val="22"/>
        </w:rPr>
        <w:t xml:space="preserve"> Parvizi</w:t>
      </w:r>
      <w:r w:rsidRPr="00CC0F76">
        <w:rPr>
          <w:sz w:val="22"/>
          <w:szCs w:val="22"/>
          <w:vertAlign w:val="superscript"/>
        </w:rPr>
        <w:t>1</w:t>
      </w:r>
      <w:proofErr w:type="gramStart"/>
      <w:r w:rsidRPr="00CC0F76">
        <w:rPr>
          <w:sz w:val="22"/>
          <w:szCs w:val="22"/>
          <w:vertAlign w:val="superscript"/>
        </w:rPr>
        <w:t>,2,3</w:t>
      </w:r>
      <w:proofErr w:type="gramEnd"/>
      <w:r w:rsidRPr="00CC0F76">
        <w:rPr>
          <w:sz w:val="22"/>
          <w:szCs w:val="22"/>
        </w:rPr>
        <w:t xml:space="preserve">, </w:t>
      </w:r>
      <w:proofErr w:type="spellStart"/>
      <w:r w:rsidRPr="00CC0F76">
        <w:rPr>
          <w:sz w:val="22"/>
          <w:szCs w:val="22"/>
        </w:rPr>
        <w:t>Mojtaba</w:t>
      </w:r>
      <w:proofErr w:type="spellEnd"/>
      <w:r w:rsidRPr="00CC0F76">
        <w:rPr>
          <w:sz w:val="22"/>
          <w:szCs w:val="22"/>
        </w:rPr>
        <w:t xml:space="preserve"> Heydari</w:t>
      </w:r>
      <w:r w:rsidRPr="00CC0F76">
        <w:rPr>
          <w:sz w:val="22"/>
          <w:szCs w:val="22"/>
          <w:vertAlign w:val="superscript"/>
        </w:rPr>
        <w:t>2,3</w:t>
      </w:r>
      <w:r w:rsidRPr="00CC0F76">
        <w:rPr>
          <w:sz w:val="22"/>
          <w:szCs w:val="22"/>
        </w:rPr>
        <w:t>, Mohammad Reza Namazi</w:t>
      </w:r>
      <w:r w:rsidRPr="00CC0F76">
        <w:rPr>
          <w:sz w:val="22"/>
          <w:szCs w:val="22"/>
          <w:vertAlign w:val="superscript"/>
        </w:rPr>
        <w:t>1</w:t>
      </w:r>
    </w:p>
    <w:p w:rsidR="00CA36D2" w:rsidRPr="001539D6" w:rsidRDefault="00CA36D2" w:rsidP="00C87805">
      <w:pPr>
        <w:pStyle w:val="ListParagraph"/>
        <w:ind w:firstLine="0"/>
        <w:rPr>
          <w:sz w:val="22"/>
          <w:szCs w:val="22"/>
          <w:vertAlign w:val="superscript"/>
        </w:rPr>
      </w:pPr>
    </w:p>
    <w:p w:rsidR="00CA36D2" w:rsidRPr="009233B2" w:rsidRDefault="00CA36D2" w:rsidP="00461EBB">
      <w:pPr>
        <w:pStyle w:val="ListParagraph"/>
        <w:ind w:firstLine="0"/>
        <w:rPr>
          <w:sz w:val="20"/>
          <w:szCs w:val="20"/>
        </w:rPr>
      </w:pPr>
      <w:r w:rsidRPr="00CC0F76">
        <w:rPr>
          <w:sz w:val="20"/>
          <w:szCs w:val="20"/>
          <w:vertAlign w:val="superscript"/>
        </w:rPr>
        <w:t>1</w:t>
      </w:r>
      <w:r w:rsidRPr="00CC0F76">
        <w:rPr>
          <w:sz w:val="20"/>
          <w:szCs w:val="20"/>
        </w:rPr>
        <w:t xml:space="preserve">Molecular Dermatology Research Center, Shiraz University of Medical Sciences, Shiraz, Iran </w:t>
      </w:r>
    </w:p>
    <w:p w:rsidR="00CA36D2" w:rsidRPr="009233B2" w:rsidRDefault="00CA36D2" w:rsidP="00461EBB">
      <w:pPr>
        <w:pStyle w:val="ListParagraph"/>
        <w:ind w:firstLine="0"/>
        <w:rPr>
          <w:sz w:val="20"/>
          <w:szCs w:val="20"/>
        </w:rPr>
      </w:pPr>
      <w:r w:rsidRPr="00CC0F76">
        <w:rPr>
          <w:sz w:val="20"/>
          <w:szCs w:val="20"/>
          <w:vertAlign w:val="superscript"/>
        </w:rPr>
        <w:t>2</w:t>
      </w:r>
      <w:r w:rsidRPr="00CC0F76">
        <w:rPr>
          <w:sz w:val="20"/>
          <w:szCs w:val="20"/>
        </w:rPr>
        <w:t xml:space="preserve">Research Center for Traditional Medicine and History of Medicine, Shiraz University of Medical Sciences, Shiraz, Iran  </w:t>
      </w:r>
    </w:p>
    <w:p w:rsidR="00CA36D2" w:rsidRPr="009233B2" w:rsidRDefault="00CA36D2" w:rsidP="00461EBB">
      <w:pPr>
        <w:pStyle w:val="ListParagraph"/>
        <w:ind w:firstLine="0"/>
        <w:rPr>
          <w:sz w:val="20"/>
          <w:szCs w:val="20"/>
        </w:rPr>
      </w:pPr>
      <w:r w:rsidRPr="00CC0F76">
        <w:rPr>
          <w:sz w:val="20"/>
          <w:szCs w:val="20"/>
          <w:vertAlign w:val="superscript"/>
        </w:rPr>
        <w:t>3</w:t>
      </w:r>
      <w:r w:rsidRPr="00CC0F76">
        <w:rPr>
          <w:sz w:val="20"/>
          <w:szCs w:val="20"/>
        </w:rPr>
        <w:t xml:space="preserve">Essence of </w:t>
      </w:r>
      <w:r w:rsidRPr="00CC0F76">
        <w:rPr>
          <w:noProof/>
          <w:sz w:val="20"/>
          <w:szCs w:val="20"/>
        </w:rPr>
        <w:t>Parsiyan</w:t>
      </w:r>
      <w:r w:rsidRPr="00CC0F76">
        <w:rPr>
          <w:sz w:val="20"/>
          <w:szCs w:val="20"/>
        </w:rPr>
        <w:t xml:space="preserve"> Wisdom Institute, </w:t>
      </w:r>
      <w:proofErr w:type="spellStart"/>
      <w:r w:rsidRPr="00CC0F76">
        <w:rPr>
          <w:sz w:val="20"/>
          <w:szCs w:val="20"/>
        </w:rPr>
        <w:t>Phytopharmaceutical</w:t>
      </w:r>
      <w:proofErr w:type="spellEnd"/>
      <w:r w:rsidRPr="00CC0F76">
        <w:rPr>
          <w:sz w:val="20"/>
          <w:szCs w:val="20"/>
        </w:rPr>
        <w:t xml:space="preserve"> and Traditional </w:t>
      </w:r>
      <w:r w:rsidRPr="00CC0F76">
        <w:rPr>
          <w:noProof/>
          <w:sz w:val="20"/>
          <w:szCs w:val="20"/>
        </w:rPr>
        <w:t>Medicine</w:t>
      </w:r>
      <w:r w:rsidRPr="00CC0F76">
        <w:rPr>
          <w:sz w:val="20"/>
          <w:szCs w:val="20"/>
        </w:rPr>
        <w:t xml:space="preserve"> Incubator, Shiraz University of Medical Sciences, Shiraz, Iran</w:t>
      </w:r>
    </w:p>
    <w:p w:rsidR="00CA36D2" w:rsidRDefault="00CA36D2" w:rsidP="00461EBB">
      <w:pPr>
        <w:pStyle w:val="ListParagraph"/>
        <w:ind w:firstLine="0"/>
        <w:rPr>
          <w:sz w:val="22"/>
          <w:szCs w:val="22"/>
        </w:rPr>
      </w:pPr>
    </w:p>
    <w:p w:rsidR="00CA36D2" w:rsidRPr="004F5544" w:rsidRDefault="00CA36D2" w:rsidP="009233B2">
      <w:pPr>
        <w:autoSpaceDE w:val="0"/>
        <w:autoSpaceDN w:val="0"/>
        <w:adjustRightInd w:val="0"/>
        <w:spacing w:line="360" w:lineRule="auto"/>
        <w:jc w:val="both"/>
        <w:rPr>
          <w:rFonts w:eastAsia="Calibri"/>
          <w:sz w:val="20"/>
          <w:szCs w:val="20"/>
          <w:vertAlign w:val="superscript"/>
          <w:lang w:val="en-US" w:eastAsia="en-US"/>
        </w:rPr>
      </w:pPr>
      <w:r w:rsidRPr="004F5544">
        <w:rPr>
          <w:rFonts w:eastAsia="Calibri"/>
          <w:b/>
          <w:bCs/>
          <w:sz w:val="20"/>
          <w:szCs w:val="20"/>
          <w:lang w:val="en-US" w:eastAsia="en-US"/>
        </w:rPr>
        <w:t xml:space="preserve">Corresponding </w:t>
      </w:r>
      <w:r>
        <w:rPr>
          <w:rFonts w:eastAsia="Calibri"/>
          <w:b/>
          <w:bCs/>
          <w:noProof/>
          <w:sz w:val="20"/>
          <w:szCs w:val="20"/>
          <w:lang w:val="en-US" w:eastAsia="en-US"/>
        </w:rPr>
        <w:t>author</w:t>
      </w:r>
      <w:r w:rsidRPr="004F5544">
        <w:rPr>
          <w:rFonts w:eastAsia="Calibri"/>
          <w:b/>
          <w:bCs/>
          <w:sz w:val="20"/>
          <w:szCs w:val="20"/>
          <w:lang w:val="en-US" w:eastAsia="en-US"/>
        </w:rPr>
        <w:t xml:space="preserve">: </w:t>
      </w:r>
      <w:proofErr w:type="spellStart"/>
      <w:r w:rsidRPr="004F5544">
        <w:rPr>
          <w:rFonts w:eastAsia="Calibri"/>
          <w:sz w:val="20"/>
          <w:szCs w:val="20"/>
          <w:lang w:val="en-US" w:eastAsia="en-US"/>
        </w:rPr>
        <w:t>Mojtaba</w:t>
      </w:r>
      <w:proofErr w:type="spellEnd"/>
      <w:r w:rsidRPr="004F5544">
        <w:rPr>
          <w:rFonts w:eastAsia="Calibri"/>
          <w:sz w:val="20"/>
          <w:szCs w:val="20"/>
          <w:lang w:val="en-US" w:eastAsia="en-US"/>
        </w:rPr>
        <w:t xml:space="preserve"> </w:t>
      </w:r>
      <w:proofErr w:type="spellStart"/>
      <w:r w:rsidRPr="004F5544">
        <w:rPr>
          <w:rFonts w:eastAsia="Calibri"/>
          <w:sz w:val="20"/>
          <w:szCs w:val="20"/>
          <w:lang w:val="en-US" w:eastAsia="en-US"/>
        </w:rPr>
        <w:t>Heydari</w:t>
      </w:r>
      <w:proofErr w:type="spellEnd"/>
      <w:r w:rsidRPr="004F5544">
        <w:rPr>
          <w:rFonts w:eastAsia="Calibri"/>
          <w:sz w:val="20"/>
          <w:szCs w:val="20"/>
          <w:lang w:val="en-US" w:eastAsia="en-US"/>
        </w:rPr>
        <w:t>, Research Center for Traditional Medicine and History of Medicine, Shiraz University of Medical Sciences, Shiraz, Iran</w:t>
      </w:r>
    </w:p>
    <w:p w:rsidR="00CA36D2" w:rsidRPr="004F5544" w:rsidRDefault="00CA36D2" w:rsidP="009233B2">
      <w:pPr>
        <w:spacing w:after="200" w:line="360" w:lineRule="auto"/>
        <w:jc w:val="both"/>
        <w:rPr>
          <w:rFonts w:eastAsia="Calibri"/>
          <w:bCs/>
          <w:sz w:val="20"/>
          <w:szCs w:val="20"/>
          <w:lang w:val="en-US" w:eastAsia="en-US" w:bidi="fa-IR"/>
        </w:rPr>
      </w:pPr>
      <w:r w:rsidRPr="004F5544">
        <w:rPr>
          <w:rFonts w:eastAsia="Calibri"/>
          <w:b/>
          <w:bCs/>
          <w:color w:val="000000"/>
          <w:sz w:val="20"/>
          <w:szCs w:val="20"/>
          <w:lang w:val="en-US" w:eastAsia="en-US"/>
        </w:rPr>
        <w:t>Mailing address:</w:t>
      </w:r>
      <w:r w:rsidRPr="004F5544">
        <w:rPr>
          <w:rFonts w:eastAsia="Calibri"/>
          <w:bCs/>
          <w:sz w:val="20"/>
          <w:szCs w:val="20"/>
          <w:lang w:val="en-US" w:eastAsia="en-US" w:bidi="fa-IR"/>
        </w:rPr>
        <w:t xml:space="preserve"> Research Center for Traditional Medicine and History of Medicine, Shiraz University of Medical Sciences, Shiraz, Iran</w:t>
      </w:r>
    </w:p>
    <w:p w:rsidR="00CA36D2" w:rsidRPr="004F5544" w:rsidRDefault="00CA36D2" w:rsidP="009233B2">
      <w:pPr>
        <w:spacing w:after="200" w:line="360" w:lineRule="auto"/>
        <w:jc w:val="both"/>
        <w:rPr>
          <w:rFonts w:eastAsia="Calibri"/>
          <w:sz w:val="20"/>
          <w:szCs w:val="20"/>
          <w:lang w:val="en-US" w:eastAsia="en-US" w:bidi="fa-IR"/>
        </w:rPr>
      </w:pPr>
      <w:r w:rsidRPr="004F5544">
        <w:rPr>
          <w:rFonts w:eastAsia="Calibri"/>
          <w:b/>
          <w:bCs/>
          <w:color w:val="000000"/>
          <w:sz w:val="20"/>
          <w:szCs w:val="20"/>
          <w:lang w:val="en-US" w:eastAsia="en-US"/>
        </w:rPr>
        <w:t xml:space="preserve">Tel: </w:t>
      </w:r>
      <w:r w:rsidRPr="004F5544">
        <w:rPr>
          <w:rFonts w:eastAsia="Calibri"/>
          <w:color w:val="000000"/>
          <w:sz w:val="20"/>
          <w:szCs w:val="20"/>
          <w:lang w:val="en-US" w:eastAsia="en-US"/>
        </w:rPr>
        <w:t>+989172051798</w:t>
      </w:r>
    </w:p>
    <w:p w:rsidR="00CA36D2" w:rsidRPr="004F5544" w:rsidRDefault="00CA36D2" w:rsidP="009233B2">
      <w:pPr>
        <w:spacing w:after="200" w:line="360" w:lineRule="auto"/>
        <w:jc w:val="both"/>
        <w:rPr>
          <w:rFonts w:eastAsia="Calibri"/>
          <w:sz w:val="20"/>
          <w:szCs w:val="20"/>
          <w:lang w:val="en-US" w:eastAsia="en-US"/>
        </w:rPr>
      </w:pPr>
      <w:r w:rsidRPr="004F5544">
        <w:rPr>
          <w:rFonts w:eastAsia="Calibri"/>
          <w:b/>
          <w:bCs/>
          <w:color w:val="000000"/>
          <w:sz w:val="20"/>
          <w:szCs w:val="20"/>
          <w:lang w:val="en-US" w:eastAsia="en-US"/>
        </w:rPr>
        <w:t>Email address:</w:t>
      </w:r>
      <w:r w:rsidRPr="004F5544">
        <w:rPr>
          <w:rFonts w:eastAsia="Calibri"/>
          <w:sz w:val="20"/>
          <w:szCs w:val="20"/>
          <w:lang w:val="en-US" w:eastAsia="en-US"/>
        </w:rPr>
        <w:t xml:space="preserve"> mheydari@sums.ac.ir</w:t>
      </w:r>
    </w:p>
    <w:p w:rsidR="00CA36D2" w:rsidRPr="004F5544" w:rsidRDefault="00CA36D2" w:rsidP="009233B2">
      <w:pPr>
        <w:spacing w:after="160" w:line="360" w:lineRule="auto"/>
        <w:jc w:val="both"/>
        <w:rPr>
          <w:rFonts w:eastAsia="Calibri"/>
          <w:sz w:val="20"/>
          <w:szCs w:val="20"/>
          <w:lang w:val="en-US" w:eastAsia="en-US"/>
        </w:rPr>
      </w:pPr>
      <w:r w:rsidRPr="004F5544">
        <w:rPr>
          <w:rFonts w:eastAsia="Calibri"/>
          <w:sz w:val="20"/>
          <w:szCs w:val="20"/>
          <w:lang w:val="en-US" w:eastAsia="en-US"/>
        </w:rPr>
        <w:t>Received 2016-09-19</w:t>
      </w:r>
    </w:p>
    <w:p w:rsidR="00CA36D2" w:rsidRPr="004F5544" w:rsidRDefault="00CA36D2" w:rsidP="009233B2">
      <w:pPr>
        <w:spacing w:after="160" w:line="360" w:lineRule="auto"/>
        <w:jc w:val="both"/>
        <w:rPr>
          <w:rFonts w:eastAsia="Calibri"/>
          <w:sz w:val="20"/>
          <w:szCs w:val="20"/>
          <w:lang w:val="en-US" w:eastAsia="en-US"/>
        </w:rPr>
      </w:pPr>
      <w:r w:rsidRPr="004F5544">
        <w:rPr>
          <w:rFonts w:eastAsia="Calibri"/>
          <w:sz w:val="20"/>
          <w:szCs w:val="20"/>
          <w:lang w:val="en-US" w:eastAsia="en-US"/>
        </w:rPr>
        <w:t>Revised 2016-12-02</w:t>
      </w:r>
    </w:p>
    <w:p w:rsidR="00CA36D2" w:rsidRPr="004F5544" w:rsidRDefault="00CA36D2" w:rsidP="009233B2">
      <w:pPr>
        <w:spacing w:after="160" w:line="360" w:lineRule="auto"/>
        <w:jc w:val="both"/>
        <w:rPr>
          <w:rFonts w:eastAsia="Calibri"/>
          <w:sz w:val="20"/>
          <w:szCs w:val="20"/>
          <w:lang w:val="en-US" w:eastAsia="en-US"/>
        </w:rPr>
      </w:pPr>
      <w:r w:rsidRPr="004F5544">
        <w:rPr>
          <w:rFonts w:eastAsia="Calibri"/>
          <w:sz w:val="20"/>
          <w:szCs w:val="20"/>
          <w:lang w:val="en-US" w:eastAsia="en-US"/>
        </w:rPr>
        <w:t>Accepted 2017-02-05</w:t>
      </w:r>
    </w:p>
    <w:p w:rsidR="00CA36D2" w:rsidRPr="004F5544" w:rsidRDefault="00CA36D2" w:rsidP="009233B2">
      <w:pPr>
        <w:spacing w:after="160" w:line="360" w:lineRule="auto"/>
        <w:contextualSpacing/>
        <w:jc w:val="both"/>
        <w:rPr>
          <w:rFonts w:eastAsia="Calibri"/>
          <w:sz w:val="20"/>
          <w:szCs w:val="20"/>
          <w:lang w:val="en-US" w:eastAsia="en-US"/>
        </w:rPr>
      </w:pPr>
      <w:r w:rsidRPr="004F5544">
        <w:rPr>
          <w:rFonts w:eastAsia="Calibri"/>
          <w:b/>
          <w:bCs/>
          <w:sz w:val="20"/>
          <w:szCs w:val="20"/>
          <w:lang w:val="en-US" w:eastAsia="en-US"/>
        </w:rPr>
        <w:t>DOI</w:t>
      </w:r>
      <w:r w:rsidRPr="004F5544">
        <w:rPr>
          <w:rFonts w:eastAsia="Calibri"/>
          <w:sz w:val="20"/>
          <w:szCs w:val="20"/>
          <w:lang w:val="en-US" w:eastAsia="en-US"/>
        </w:rPr>
        <w:t>: 10.22086/gmj.v6i2.</w:t>
      </w:r>
      <w:r>
        <w:rPr>
          <w:rFonts w:eastAsia="Calibri"/>
          <w:sz w:val="20"/>
          <w:szCs w:val="20"/>
          <w:lang w:val="en-US" w:eastAsia="en-US"/>
        </w:rPr>
        <w:t>706</w:t>
      </w:r>
    </w:p>
    <w:p w:rsidR="00CA36D2" w:rsidRDefault="00CA36D2" w:rsidP="00461EBB">
      <w:pPr>
        <w:pStyle w:val="ListParagraph"/>
        <w:ind w:firstLine="0"/>
        <w:rPr>
          <w:sz w:val="22"/>
          <w:szCs w:val="22"/>
          <w:highlight w:val="yellow"/>
        </w:rPr>
      </w:pPr>
    </w:p>
    <w:p w:rsidR="00CA36D2" w:rsidRPr="001539D6" w:rsidRDefault="00CA36D2" w:rsidP="00461EBB">
      <w:pPr>
        <w:pStyle w:val="ListParagraph"/>
        <w:ind w:firstLine="0"/>
      </w:pPr>
    </w:p>
    <w:p w:rsidR="00CA36D2" w:rsidRPr="001539D6" w:rsidRDefault="00CA36D2" w:rsidP="00686A58">
      <w:pPr>
        <w:pStyle w:val="NoSpacing"/>
        <w:rPr>
          <w:rFonts w:asciiTheme="majorBidi" w:hAnsiTheme="majorBidi" w:cstheme="majorBidi"/>
          <w:b/>
          <w:bCs/>
          <w:i/>
          <w:iCs/>
          <w:sz w:val="24"/>
          <w:szCs w:val="24"/>
        </w:rPr>
      </w:pPr>
    </w:p>
    <w:p w:rsidR="00CA36D2" w:rsidRDefault="00CA36D2" w:rsidP="000C0C95">
      <w:pPr>
        <w:jc w:val="both"/>
        <w:rPr>
          <w:sz w:val="28"/>
          <w:szCs w:val="28"/>
        </w:rPr>
      </w:pPr>
    </w:p>
    <w:p w:rsidR="00CA36D2" w:rsidRDefault="00CA36D2" w:rsidP="000C0C95">
      <w:pPr>
        <w:jc w:val="both"/>
        <w:rPr>
          <w:sz w:val="28"/>
          <w:szCs w:val="28"/>
        </w:rPr>
      </w:pPr>
    </w:p>
    <w:p w:rsidR="00CA36D2" w:rsidRDefault="00CA36D2" w:rsidP="000C0C95">
      <w:pPr>
        <w:jc w:val="both"/>
        <w:rPr>
          <w:sz w:val="28"/>
          <w:szCs w:val="28"/>
        </w:rPr>
      </w:pPr>
    </w:p>
    <w:p w:rsidR="00CA36D2" w:rsidRDefault="00CA36D2" w:rsidP="000C0C95">
      <w:pPr>
        <w:jc w:val="both"/>
        <w:rPr>
          <w:sz w:val="28"/>
          <w:szCs w:val="28"/>
        </w:rPr>
      </w:pPr>
    </w:p>
    <w:p w:rsidR="00CA36D2" w:rsidRDefault="00CA36D2" w:rsidP="000C0C95">
      <w:pPr>
        <w:jc w:val="both"/>
        <w:rPr>
          <w:sz w:val="28"/>
          <w:szCs w:val="28"/>
        </w:rPr>
      </w:pPr>
    </w:p>
    <w:p w:rsidR="00CA36D2" w:rsidRPr="001539D6" w:rsidRDefault="00CA36D2" w:rsidP="000C0C95">
      <w:pPr>
        <w:jc w:val="both"/>
        <w:rPr>
          <w:b/>
          <w:bCs/>
        </w:rPr>
      </w:pPr>
      <w:r w:rsidRPr="001539D6">
        <w:rPr>
          <w:b/>
          <w:bCs/>
        </w:rPr>
        <w:lastRenderedPageBreak/>
        <w:t>Abstract</w:t>
      </w:r>
    </w:p>
    <w:p w:rsidR="00CA36D2" w:rsidRPr="001539D6" w:rsidRDefault="00CA36D2" w:rsidP="006B30BF">
      <w:pPr>
        <w:jc w:val="both"/>
      </w:pPr>
      <w:r w:rsidRPr="008C0AE4">
        <w:rPr>
          <w:b/>
          <w:bCs/>
        </w:rPr>
        <w:t>Background</w:t>
      </w:r>
      <w:r w:rsidRPr="001539D6">
        <w:t xml:space="preserve">: </w:t>
      </w:r>
      <w:proofErr w:type="spellStart"/>
      <w:r w:rsidRPr="001539D6">
        <w:t>Seborrheic</w:t>
      </w:r>
      <w:proofErr w:type="spellEnd"/>
      <w:r w:rsidRPr="001539D6">
        <w:t xml:space="preserve"> Dermatitis (SD) is a common, chronic and relapsing disorder caused by changes in the </w:t>
      </w:r>
      <w:proofErr w:type="spellStart"/>
      <w:r w:rsidRPr="001539D6">
        <w:t>cutaneous</w:t>
      </w:r>
      <w:proofErr w:type="spellEnd"/>
      <w:r w:rsidRPr="001539D6">
        <w:t xml:space="preserve"> </w:t>
      </w:r>
      <w:proofErr w:type="spellStart"/>
      <w:r w:rsidRPr="001539D6">
        <w:t>microflora</w:t>
      </w:r>
      <w:proofErr w:type="spellEnd"/>
      <w:r w:rsidRPr="001539D6">
        <w:t xml:space="preserve">. This disease is called </w:t>
      </w:r>
      <w:r>
        <w:rPr>
          <w:i/>
          <w:iCs/>
          <w:noProof/>
        </w:rPr>
        <w:t>hozaz</w:t>
      </w:r>
      <w:r w:rsidRPr="001539D6">
        <w:t xml:space="preserve"> in traditional Persian medicine</w:t>
      </w:r>
      <w:r>
        <w:t xml:space="preserve"> (TPM)</w:t>
      </w:r>
      <w:r w:rsidRPr="001539D6">
        <w:t xml:space="preserve">. Topical application of </w:t>
      </w:r>
      <w:r w:rsidRPr="001539D6">
        <w:rPr>
          <w:i/>
          <w:iCs/>
        </w:rPr>
        <w:t xml:space="preserve">Althaea </w:t>
      </w:r>
      <w:r>
        <w:rPr>
          <w:i/>
          <w:iCs/>
          <w:noProof/>
        </w:rPr>
        <w:t>officinalis</w:t>
      </w:r>
      <w:r w:rsidRPr="001539D6">
        <w:rPr>
          <w:i/>
          <w:iCs/>
        </w:rPr>
        <w:t xml:space="preserve"> </w:t>
      </w:r>
      <w:r w:rsidRPr="001539D6">
        <w:t>L.</w:t>
      </w:r>
      <w:r w:rsidRPr="001539D6">
        <w:rPr>
          <w:i/>
          <w:iCs/>
        </w:rPr>
        <w:t xml:space="preserve"> </w:t>
      </w:r>
      <w:r w:rsidRPr="001539D6">
        <w:t xml:space="preserve">in combination with vinegar has </w:t>
      </w:r>
      <w:r>
        <w:rPr>
          <w:noProof/>
        </w:rPr>
        <w:t>been traditionally recommended</w:t>
      </w:r>
      <w:r w:rsidRPr="001539D6">
        <w:t xml:space="preserve"> for treatment of this disease. </w:t>
      </w:r>
    </w:p>
    <w:p w:rsidR="00CA36D2" w:rsidRDefault="00CA36D2">
      <w:pPr>
        <w:jc w:val="both"/>
      </w:pPr>
      <w:r w:rsidRPr="008C0AE4">
        <w:rPr>
          <w:b/>
          <w:bCs/>
        </w:rPr>
        <w:t xml:space="preserve">Case </w:t>
      </w:r>
      <w:r>
        <w:rPr>
          <w:b/>
          <w:bCs/>
        </w:rPr>
        <w:t>R</w:t>
      </w:r>
      <w:r w:rsidRPr="008C0AE4">
        <w:rPr>
          <w:b/>
          <w:bCs/>
        </w:rPr>
        <w:t>eport</w:t>
      </w:r>
      <w:r w:rsidRPr="001539D6">
        <w:t>: This paper presents long-term remission of resistant SD in a 32-year-old female patient with topical application of</w:t>
      </w:r>
      <w:r w:rsidRPr="001539D6">
        <w:rPr>
          <w:i/>
          <w:iCs/>
        </w:rPr>
        <w:t xml:space="preserve"> A</w:t>
      </w:r>
      <w:r>
        <w:rPr>
          <w:i/>
          <w:iCs/>
        </w:rPr>
        <w:t>.</w:t>
      </w:r>
      <w:r w:rsidRPr="001539D6">
        <w:rPr>
          <w:i/>
          <w:iCs/>
        </w:rPr>
        <w:t xml:space="preserve"> </w:t>
      </w:r>
      <w:r>
        <w:rPr>
          <w:i/>
          <w:iCs/>
          <w:noProof/>
        </w:rPr>
        <w:t>officinalis</w:t>
      </w:r>
      <w:r w:rsidRPr="001539D6">
        <w:rPr>
          <w:i/>
          <w:iCs/>
        </w:rPr>
        <w:t xml:space="preserve"> </w:t>
      </w:r>
      <w:r w:rsidRPr="001539D6">
        <w:t xml:space="preserve">in combination with vinegar, </w:t>
      </w:r>
      <w:r>
        <w:t>as well as</w:t>
      </w:r>
      <w:r w:rsidRPr="001539D6">
        <w:t xml:space="preserve"> the </w:t>
      </w:r>
      <w:r>
        <w:t>TPM</w:t>
      </w:r>
      <w:r w:rsidRPr="001539D6">
        <w:t xml:space="preserve">'s healthy lifestyle advice and dietary recommendations. </w:t>
      </w:r>
    </w:p>
    <w:p w:rsidR="00CA36D2" w:rsidRDefault="00CA36D2">
      <w:pPr>
        <w:jc w:val="both"/>
      </w:pPr>
      <w:r w:rsidRPr="008C0AE4">
        <w:rPr>
          <w:b/>
          <w:bCs/>
        </w:rPr>
        <w:t>Conclusion</w:t>
      </w:r>
      <w:r w:rsidRPr="001539D6">
        <w:t xml:space="preserve">: This remarkable clinical experience suggests </w:t>
      </w:r>
      <w:r>
        <w:t>that</w:t>
      </w:r>
      <w:r w:rsidRPr="001539D6">
        <w:t xml:space="preserve"> further research </w:t>
      </w:r>
      <w:r>
        <w:t xml:space="preserve">should </w:t>
      </w:r>
      <w:r>
        <w:rPr>
          <w:noProof/>
        </w:rPr>
        <w:t>be conducted</w:t>
      </w:r>
      <w:r>
        <w:t xml:space="preserve"> </w:t>
      </w:r>
      <w:r w:rsidRPr="001539D6">
        <w:t xml:space="preserve">on the effect of </w:t>
      </w:r>
      <w:r w:rsidRPr="001539D6">
        <w:rPr>
          <w:i/>
          <w:iCs/>
        </w:rPr>
        <w:t>A</w:t>
      </w:r>
      <w:r>
        <w:rPr>
          <w:i/>
          <w:iCs/>
        </w:rPr>
        <w:t>.</w:t>
      </w:r>
      <w:r w:rsidRPr="001539D6">
        <w:rPr>
          <w:i/>
          <w:iCs/>
        </w:rPr>
        <w:t xml:space="preserve"> </w:t>
      </w:r>
      <w:r>
        <w:rPr>
          <w:i/>
          <w:iCs/>
          <w:noProof/>
        </w:rPr>
        <w:t>officinalis</w:t>
      </w:r>
      <w:r>
        <w:rPr>
          <w:noProof/>
        </w:rPr>
        <w:t xml:space="preserve"> and</w:t>
      </w:r>
      <w:r w:rsidRPr="001539D6">
        <w:t xml:space="preserve"> TPM's </w:t>
      </w:r>
      <w:r>
        <w:rPr>
          <w:noProof/>
        </w:rPr>
        <w:t>recommendations</w:t>
      </w:r>
      <w:r w:rsidRPr="001539D6">
        <w:t xml:space="preserve"> in the treatment of SD.</w:t>
      </w:r>
    </w:p>
    <w:p w:rsidR="00CA36D2" w:rsidRPr="001539D6" w:rsidRDefault="00CA36D2" w:rsidP="00BA6B0A">
      <w:pPr>
        <w:jc w:val="both"/>
      </w:pPr>
    </w:p>
    <w:p w:rsidR="00CA36D2" w:rsidRPr="001539D6" w:rsidRDefault="00CA36D2" w:rsidP="000C0C95">
      <w:pPr>
        <w:jc w:val="both"/>
      </w:pPr>
    </w:p>
    <w:p w:rsidR="00CA36D2" w:rsidRPr="001539D6" w:rsidRDefault="00CA36D2" w:rsidP="009233B2">
      <w:pPr>
        <w:jc w:val="both"/>
      </w:pPr>
      <w:r w:rsidRPr="001539D6">
        <w:rPr>
          <w:b/>
          <w:bCs/>
        </w:rPr>
        <w:t>Keywords:</w:t>
      </w:r>
      <w:r w:rsidRPr="001539D6">
        <w:t xml:space="preserve"> </w:t>
      </w:r>
      <w:proofErr w:type="spellStart"/>
      <w:r w:rsidRPr="001539D6">
        <w:t>Seborrheic</w:t>
      </w:r>
      <w:proofErr w:type="spellEnd"/>
      <w:r w:rsidRPr="001539D6">
        <w:t xml:space="preserve"> Dermatitis</w:t>
      </w:r>
      <w:r>
        <w:t>;</w:t>
      </w:r>
      <w:r w:rsidRPr="001539D6">
        <w:t xml:space="preserve"> Traditional Medicine</w:t>
      </w:r>
      <w:r>
        <w:t>;</w:t>
      </w:r>
      <w:r w:rsidRPr="001539D6">
        <w:t xml:space="preserve"> </w:t>
      </w:r>
      <w:r w:rsidRPr="001539D6">
        <w:rPr>
          <w:i/>
          <w:iCs/>
        </w:rPr>
        <w:t xml:space="preserve">Althaea </w:t>
      </w:r>
      <w:r>
        <w:rPr>
          <w:i/>
          <w:iCs/>
          <w:noProof/>
        </w:rPr>
        <w:t>Officinalis</w:t>
      </w:r>
      <w:r w:rsidRPr="00CC0F76">
        <w:rPr>
          <w:noProof/>
        </w:rPr>
        <w:t>;</w:t>
      </w:r>
      <w:r>
        <w:rPr>
          <w:i/>
          <w:iCs/>
          <w:noProof/>
        </w:rPr>
        <w:t xml:space="preserve"> </w:t>
      </w:r>
      <w:r w:rsidRPr="001539D6">
        <w:t>Dermatology</w:t>
      </w:r>
    </w:p>
    <w:p w:rsidR="00CA36D2" w:rsidRDefault="00CA36D2" w:rsidP="000C0C95">
      <w:pPr>
        <w:pStyle w:val="Keywords"/>
        <w:jc w:val="both"/>
      </w:pPr>
    </w:p>
    <w:p w:rsidR="00CA36D2" w:rsidRDefault="00CA36D2">
      <w:pPr>
        <w:pStyle w:val="Paragraph"/>
      </w:pPr>
    </w:p>
    <w:p w:rsidR="00CA36D2" w:rsidRDefault="00CA36D2">
      <w:pPr>
        <w:pStyle w:val="Newparagraph"/>
      </w:pPr>
    </w:p>
    <w:p w:rsidR="00CA36D2" w:rsidRDefault="00CA36D2">
      <w:pPr>
        <w:pStyle w:val="Newparagraph"/>
      </w:pPr>
    </w:p>
    <w:p w:rsidR="00CA36D2" w:rsidRDefault="00CA36D2">
      <w:pPr>
        <w:pStyle w:val="Newparagraph"/>
      </w:pPr>
    </w:p>
    <w:p w:rsidR="00CA36D2" w:rsidRDefault="00CA36D2">
      <w:pPr>
        <w:pStyle w:val="Newparagraph"/>
      </w:pPr>
    </w:p>
    <w:p w:rsidR="00CA36D2" w:rsidRDefault="00CA36D2">
      <w:pPr>
        <w:pStyle w:val="Newparagraph"/>
      </w:pPr>
    </w:p>
    <w:p w:rsidR="00CA36D2" w:rsidRDefault="00CA36D2">
      <w:pPr>
        <w:pStyle w:val="Newparagraph"/>
      </w:pPr>
    </w:p>
    <w:p w:rsidR="00CA36D2" w:rsidRDefault="00CA36D2">
      <w:pPr>
        <w:pStyle w:val="Newparagraph"/>
      </w:pPr>
    </w:p>
    <w:p w:rsidR="00CA36D2" w:rsidRDefault="00CA36D2">
      <w:pPr>
        <w:pStyle w:val="Newparagraph"/>
      </w:pPr>
    </w:p>
    <w:p w:rsidR="00CA36D2" w:rsidRDefault="00CA36D2">
      <w:pPr>
        <w:pStyle w:val="Newparagraph"/>
      </w:pPr>
    </w:p>
    <w:p w:rsidR="00CA36D2" w:rsidRDefault="00CA36D2">
      <w:pPr>
        <w:pStyle w:val="Newparagraph"/>
      </w:pPr>
    </w:p>
    <w:p w:rsidR="00CA36D2" w:rsidRPr="001539D6" w:rsidRDefault="00CA36D2" w:rsidP="00553C8A">
      <w:pPr>
        <w:jc w:val="both"/>
        <w:rPr>
          <w:b/>
          <w:bCs/>
        </w:rPr>
      </w:pPr>
      <w:r w:rsidRPr="001539D6">
        <w:rPr>
          <w:b/>
          <w:bCs/>
        </w:rPr>
        <w:lastRenderedPageBreak/>
        <w:t>Introduction</w:t>
      </w:r>
    </w:p>
    <w:p w:rsidR="00CA36D2" w:rsidRPr="001539D6" w:rsidRDefault="00CA36D2" w:rsidP="00006A17">
      <w:pPr>
        <w:jc w:val="both"/>
      </w:pPr>
      <w:proofErr w:type="spellStart"/>
      <w:r w:rsidRPr="001539D6">
        <w:t>Seborrheic</w:t>
      </w:r>
      <w:proofErr w:type="spellEnd"/>
      <w:r w:rsidRPr="001539D6">
        <w:t xml:space="preserve"> Dermatitis (SD) is a common chronic and relapsing disorder caused by changes in the </w:t>
      </w:r>
      <w:proofErr w:type="spellStart"/>
      <w:r w:rsidRPr="001539D6">
        <w:t>cutaneous</w:t>
      </w:r>
      <w:proofErr w:type="spellEnd"/>
      <w:r w:rsidRPr="001539D6">
        <w:t xml:space="preserve"> </w:t>
      </w:r>
      <w:proofErr w:type="spellStart"/>
      <w:r w:rsidRPr="001539D6">
        <w:t>microflora</w:t>
      </w:r>
      <w:proofErr w:type="spellEnd"/>
      <w:r w:rsidRPr="001539D6">
        <w:t xml:space="preserve"> or </w:t>
      </w:r>
      <w:r>
        <w:rPr>
          <w:noProof/>
        </w:rPr>
        <w:t>changes</w:t>
      </w:r>
      <w:r w:rsidRPr="001539D6">
        <w:t xml:space="preserve"> in the host immune function. </w:t>
      </w:r>
      <w:r>
        <w:rPr>
          <w:noProof/>
        </w:rPr>
        <w:t>The incidence</w:t>
      </w:r>
      <w:r w:rsidRPr="001539D6">
        <w:t xml:space="preserve"> of SD is up to 42%</w:t>
      </w:r>
      <w:r w:rsidRPr="001539D6">
        <w:rPr>
          <w:noProof/>
        </w:rPr>
        <w:t xml:space="preserve"> [1]</w:t>
      </w:r>
      <w:r w:rsidRPr="001539D6">
        <w:t xml:space="preserve">.  The most common age </w:t>
      </w:r>
      <w:r>
        <w:t xml:space="preserve">in which </w:t>
      </w:r>
      <w:r w:rsidRPr="001539D6">
        <w:t xml:space="preserve">SD </w:t>
      </w:r>
      <w:r>
        <w:t xml:space="preserve">occurs is </w:t>
      </w:r>
      <w:r w:rsidRPr="001539D6">
        <w:t>during the first three months of life, puberty and between 40 to 60 years of adulthood</w:t>
      </w:r>
      <w:r w:rsidRPr="001539D6">
        <w:rPr>
          <w:noProof/>
        </w:rPr>
        <w:t xml:space="preserve"> [1]</w:t>
      </w:r>
      <w:r w:rsidRPr="001539D6">
        <w:t xml:space="preserve">. The </w:t>
      </w:r>
      <w:r>
        <w:rPr>
          <w:noProof/>
        </w:rPr>
        <w:t>etiology</w:t>
      </w:r>
      <w:r w:rsidRPr="001539D6">
        <w:t xml:space="preserve"> of this disease has not </w:t>
      </w:r>
      <w:r>
        <w:rPr>
          <w:noProof/>
        </w:rPr>
        <w:t>been clearly demonstrated</w:t>
      </w:r>
      <w:r w:rsidRPr="001539D6">
        <w:t xml:space="preserve">, but recent investigations have focused on the pivotal role of </w:t>
      </w:r>
      <w:proofErr w:type="spellStart"/>
      <w:r w:rsidRPr="001539D6">
        <w:t>Malassezia</w:t>
      </w:r>
      <w:proofErr w:type="spellEnd"/>
      <w:r w:rsidRPr="001539D6">
        <w:t>. So far, no satisfactory treatment exists for SD</w:t>
      </w:r>
      <w:r w:rsidRPr="001539D6">
        <w:rPr>
          <w:noProof/>
        </w:rPr>
        <w:t xml:space="preserve"> </w:t>
      </w:r>
      <w:r w:rsidRPr="00163243">
        <w:rPr>
          <w:noProof/>
        </w:rPr>
        <w:t>[1]</w:t>
      </w:r>
      <w:r>
        <w:t xml:space="preserve">. </w:t>
      </w:r>
      <w:r w:rsidRPr="00CC0F76">
        <w:t xml:space="preserve">There are several risk factors for SD, such as adults’ age </w:t>
      </w:r>
      <w:r w:rsidRPr="00CC0F76">
        <w:rPr>
          <w:noProof/>
        </w:rPr>
        <w:t>specially</w:t>
      </w:r>
      <w:r w:rsidRPr="00CC0F76">
        <w:t xml:space="preserve"> 30-50 years old, female sex, obesity, stress, tobacco and alcohol consumption, and </w:t>
      </w:r>
      <w:r w:rsidRPr="00CC0F76">
        <w:rPr>
          <w:noProof/>
        </w:rPr>
        <w:t>also common</w:t>
      </w:r>
      <w:r w:rsidRPr="00CC0F76">
        <w:t xml:space="preserve"> chronic </w:t>
      </w:r>
      <w:r w:rsidRPr="00CC0F76">
        <w:rPr>
          <w:noProof/>
        </w:rPr>
        <w:t>diseases</w:t>
      </w:r>
      <w:r w:rsidRPr="00CC0F76">
        <w:t xml:space="preserve"> like hypertension, coronary heart disease, diabetes mellitus, and chronic renal failure </w:t>
      </w:r>
      <w:r w:rsidRPr="00CC0F76">
        <w:rPr>
          <w:noProof/>
        </w:rPr>
        <w:t>[2]</w:t>
      </w:r>
      <w:r w:rsidRPr="00CC0F76">
        <w:t>.</w:t>
      </w:r>
    </w:p>
    <w:p w:rsidR="00CA36D2" w:rsidRPr="001539D6" w:rsidRDefault="00CA36D2" w:rsidP="00006A17">
      <w:pPr>
        <w:jc w:val="both"/>
      </w:pPr>
      <w:r w:rsidRPr="001539D6">
        <w:t>SD is like a defined disease, named</w:t>
      </w:r>
      <w:r w:rsidRPr="001539D6">
        <w:rPr>
          <w:i/>
          <w:iCs/>
        </w:rPr>
        <w:t xml:space="preserve"> “</w:t>
      </w:r>
      <w:proofErr w:type="spellStart"/>
      <w:r>
        <w:rPr>
          <w:i/>
          <w:iCs/>
          <w:noProof/>
        </w:rPr>
        <w:t>hozaz</w:t>
      </w:r>
      <w:proofErr w:type="spellEnd"/>
      <w:r>
        <w:rPr>
          <w:i/>
          <w:iCs/>
          <w:noProof/>
        </w:rPr>
        <w:t>,”</w:t>
      </w:r>
      <w:r w:rsidRPr="001539D6">
        <w:t xml:space="preserve"> in Traditional Persian Medicine (TPM) </w:t>
      </w:r>
      <w:r>
        <w:rPr>
          <w:noProof/>
        </w:rPr>
        <w:t>[3]</w:t>
      </w:r>
      <w:r w:rsidRPr="001539D6">
        <w:t>. According to TPM,</w:t>
      </w:r>
      <w:r>
        <w:t xml:space="preserve"> the</w:t>
      </w:r>
      <w:r w:rsidRPr="001539D6">
        <w:t xml:space="preserve"> </w:t>
      </w:r>
      <w:r>
        <w:rPr>
          <w:noProof/>
        </w:rPr>
        <w:t>appearance</w:t>
      </w:r>
      <w:r w:rsidRPr="001539D6">
        <w:t xml:space="preserve"> of small size scale</w:t>
      </w:r>
      <w:r>
        <w:t>-</w:t>
      </w:r>
      <w:r w:rsidRPr="001539D6">
        <w:t xml:space="preserve"> and scurf</w:t>
      </w:r>
      <w:r>
        <w:t>-</w:t>
      </w:r>
      <w:r w:rsidRPr="001539D6">
        <w:t xml:space="preserve">liked bran </w:t>
      </w:r>
      <w:r w:rsidRPr="001539D6">
        <w:rPr>
          <w:i/>
          <w:iCs/>
        </w:rPr>
        <w:t>(</w:t>
      </w:r>
      <w:proofErr w:type="spellStart"/>
      <w:r>
        <w:rPr>
          <w:i/>
          <w:iCs/>
          <w:noProof/>
        </w:rPr>
        <w:t>saboos</w:t>
      </w:r>
      <w:proofErr w:type="spellEnd"/>
      <w:r w:rsidRPr="001539D6">
        <w:rPr>
          <w:i/>
          <w:iCs/>
        </w:rPr>
        <w:t>)</w:t>
      </w:r>
      <w:r w:rsidRPr="001539D6">
        <w:t xml:space="preserve"> on the skin and hair of the head </w:t>
      </w:r>
      <w:r>
        <w:t>is</w:t>
      </w:r>
      <w:r w:rsidRPr="001539D6">
        <w:t xml:space="preserve"> the </w:t>
      </w:r>
      <w:r>
        <w:t>most significant sign of this disease</w:t>
      </w:r>
      <w:r>
        <w:rPr>
          <w:noProof/>
        </w:rPr>
        <w:t xml:space="preserve"> [3]</w:t>
      </w:r>
      <w:r>
        <w:t xml:space="preserve">. It </w:t>
      </w:r>
      <w:r>
        <w:rPr>
          <w:noProof/>
        </w:rPr>
        <w:t>is stated</w:t>
      </w:r>
      <w:r>
        <w:t xml:space="preserve"> that these scales </w:t>
      </w:r>
      <w:r>
        <w:rPr>
          <w:noProof/>
        </w:rPr>
        <w:t>are not associated</w:t>
      </w:r>
      <w:r>
        <w:t xml:space="preserve"> with any </w:t>
      </w:r>
      <w:r>
        <w:rPr>
          <w:noProof/>
        </w:rPr>
        <w:t>sore [3]</w:t>
      </w:r>
      <w:r>
        <w:t xml:space="preserve">. </w:t>
      </w:r>
      <w:r w:rsidRPr="00CC0F76">
        <w:t xml:space="preserve">Several risk factors </w:t>
      </w:r>
      <w:r w:rsidRPr="00CC0F76">
        <w:rPr>
          <w:noProof/>
        </w:rPr>
        <w:t>are presented</w:t>
      </w:r>
      <w:r w:rsidRPr="00CC0F76">
        <w:t xml:space="preserve"> for </w:t>
      </w:r>
      <w:r w:rsidRPr="00CC0F76">
        <w:rPr>
          <w:i/>
          <w:iCs/>
          <w:noProof/>
        </w:rPr>
        <w:t>hozaz</w:t>
      </w:r>
      <w:r w:rsidRPr="00CC0F76">
        <w:t xml:space="preserve"> in TPM. For </w:t>
      </w:r>
      <w:r w:rsidRPr="00CC0F76">
        <w:rPr>
          <w:noProof/>
        </w:rPr>
        <w:t>instance,</w:t>
      </w:r>
      <w:r w:rsidRPr="00CC0F76">
        <w:t xml:space="preserve"> this disease occurs in young adult more than adulthood, and also, choleric temperaments (</w:t>
      </w:r>
      <w:proofErr w:type="spellStart"/>
      <w:r w:rsidRPr="00CC0F76">
        <w:rPr>
          <w:i/>
          <w:iCs/>
          <w:noProof/>
        </w:rPr>
        <w:t>Mejaz</w:t>
      </w:r>
      <w:proofErr w:type="spellEnd"/>
      <w:r w:rsidRPr="00CC0F76">
        <w:rPr>
          <w:i/>
          <w:iCs/>
        </w:rPr>
        <w:t>-e-</w:t>
      </w:r>
      <w:proofErr w:type="spellStart"/>
      <w:r w:rsidRPr="00CC0F76">
        <w:rPr>
          <w:i/>
          <w:iCs/>
          <w:noProof/>
        </w:rPr>
        <w:t>Safravi</w:t>
      </w:r>
      <w:proofErr w:type="spellEnd"/>
      <w:r w:rsidRPr="00CC0F76">
        <w:t xml:space="preserve">) and history of continuous consumption of hot nature foods and drugs </w:t>
      </w:r>
      <w:r w:rsidRPr="00CC0F76">
        <w:rPr>
          <w:noProof/>
        </w:rPr>
        <w:t>are associated</w:t>
      </w:r>
      <w:r w:rsidRPr="00CC0F76">
        <w:t xml:space="preserve"> with it </w:t>
      </w:r>
      <w:r w:rsidRPr="00CC0F76">
        <w:rPr>
          <w:noProof/>
        </w:rPr>
        <w:t>[3, 4]</w:t>
      </w:r>
      <w:r>
        <w:t xml:space="preserve">. </w:t>
      </w:r>
      <w:r w:rsidRPr="00CC0F76">
        <w:t xml:space="preserve">Several </w:t>
      </w:r>
      <w:proofErr w:type="spellStart"/>
      <w:r w:rsidRPr="00CC0F76">
        <w:t>etiologies</w:t>
      </w:r>
      <w:proofErr w:type="spellEnd"/>
      <w:r w:rsidRPr="00CC0F76">
        <w:t xml:space="preserve"> </w:t>
      </w:r>
      <w:r w:rsidRPr="00CC0F76">
        <w:rPr>
          <w:noProof/>
        </w:rPr>
        <w:t>are described</w:t>
      </w:r>
      <w:r w:rsidRPr="00CC0F76">
        <w:t xml:space="preserve"> for this disease in TPM including burned bile </w:t>
      </w:r>
      <w:proofErr w:type="spellStart"/>
      <w:r w:rsidRPr="00CC0F76">
        <w:t>humor</w:t>
      </w:r>
      <w:proofErr w:type="spellEnd"/>
      <w:r w:rsidRPr="00CC0F76">
        <w:t xml:space="preserve"> (</w:t>
      </w:r>
      <w:proofErr w:type="spellStart"/>
      <w:r w:rsidRPr="00CC0F76">
        <w:rPr>
          <w:i/>
          <w:iCs/>
          <w:noProof/>
        </w:rPr>
        <w:t>Safray</w:t>
      </w:r>
      <w:proofErr w:type="spellEnd"/>
      <w:r w:rsidRPr="00CC0F76">
        <w:rPr>
          <w:i/>
          <w:iCs/>
        </w:rPr>
        <w:t>-e-</w:t>
      </w:r>
      <w:proofErr w:type="spellStart"/>
      <w:r w:rsidRPr="00CC0F76">
        <w:rPr>
          <w:i/>
          <w:iCs/>
          <w:noProof/>
        </w:rPr>
        <w:t>Mohtareghe</w:t>
      </w:r>
      <w:proofErr w:type="spellEnd"/>
      <w:r w:rsidRPr="00CC0F76">
        <w:t xml:space="preserve">), blood </w:t>
      </w:r>
      <w:proofErr w:type="spellStart"/>
      <w:r w:rsidRPr="00CC0F76">
        <w:t>humor</w:t>
      </w:r>
      <w:proofErr w:type="spellEnd"/>
      <w:r w:rsidRPr="00CC0F76">
        <w:t xml:space="preserve"> plethora (</w:t>
      </w:r>
      <w:proofErr w:type="spellStart"/>
      <w:r w:rsidRPr="00CC0F76">
        <w:rPr>
          <w:i/>
          <w:iCs/>
          <w:noProof/>
        </w:rPr>
        <w:t>Ghalab</w:t>
      </w:r>
      <w:proofErr w:type="spellEnd"/>
      <w:r w:rsidRPr="00CC0F76">
        <w:rPr>
          <w:i/>
          <w:iCs/>
          <w:noProof/>
        </w:rPr>
        <w:t>-e</w:t>
      </w:r>
      <w:r>
        <w:rPr>
          <w:i/>
          <w:iCs/>
          <w:noProof/>
        </w:rPr>
        <w:t>-</w:t>
      </w:r>
      <w:r w:rsidRPr="00CC0F76">
        <w:rPr>
          <w:i/>
          <w:iCs/>
        </w:rPr>
        <w:t xml:space="preserve"> </w:t>
      </w:r>
      <w:r>
        <w:rPr>
          <w:i/>
          <w:iCs/>
        </w:rPr>
        <w:t>D</w:t>
      </w:r>
      <w:r w:rsidRPr="00CC0F76">
        <w:rPr>
          <w:i/>
          <w:iCs/>
        </w:rPr>
        <w:t>am</w:t>
      </w:r>
      <w:r w:rsidRPr="00CC0F76">
        <w:t xml:space="preserve">), salty phlegm </w:t>
      </w:r>
      <w:proofErr w:type="spellStart"/>
      <w:r w:rsidRPr="00CC0F76">
        <w:t>humor</w:t>
      </w:r>
      <w:proofErr w:type="spellEnd"/>
      <w:r w:rsidRPr="00CC0F76">
        <w:t xml:space="preserve"> (</w:t>
      </w:r>
      <w:proofErr w:type="spellStart"/>
      <w:r w:rsidRPr="00CC0F76">
        <w:rPr>
          <w:i/>
          <w:iCs/>
          <w:noProof/>
        </w:rPr>
        <w:t>Balgham</w:t>
      </w:r>
      <w:proofErr w:type="spellEnd"/>
      <w:r w:rsidRPr="00CC0F76">
        <w:rPr>
          <w:i/>
          <w:iCs/>
        </w:rPr>
        <w:t>-e-</w:t>
      </w:r>
      <w:proofErr w:type="spellStart"/>
      <w:r w:rsidRPr="00CC0F76">
        <w:rPr>
          <w:i/>
          <w:iCs/>
          <w:noProof/>
        </w:rPr>
        <w:t>Maleh</w:t>
      </w:r>
      <w:proofErr w:type="spellEnd"/>
      <w:r w:rsidRPr="00CC0F76">
        <w:t xml:space="preserve">), and blood mixed with soda </w:t>
      </w:r>
      <w:proofErr w:type="spellStart"/>
      <w:r w:rsidRPr="00CC0F76">
        <w:t>humor</w:t>
      </w:r>
      <w:proofErr w:type="spellEnd"/>
      <w:r w:rsidRPr="00CC0F76">
        <w:rPr>
          <w:i/>
          <w:iCs/>
        </w:rPr>
        <w:t xml:space="preserve"> </w:t>
      </w:r>
      <w:r w:rsidRPr="00CC0F76">
        <w:t>(</w:t>
      </w:r>
      <w:r w:rsidRPr="00CC0F76">
        <w:rPr>
          <w:i/>
          <w:iCs/>
          <w:noProof/>
        </w:rPr>
        <w:t>Dam-e</w:t>
      </w:r>
      <w:r w:rsidRPr="00CC0F76">
        <w:rPr>
          <w:i/>
          <w:iCs/>
        </w:rPr>
        <w:t>-</w:t>
      </w:r>
      <w:proofErr w:type="spellStart"/>
      <w:r w:rsidRPr="00CC0F76">
        <w:rPr>
          <w:i/>
          <w:iCs/>
          <w:noProof/>
        </w:rPr>
        <w:t>Sodavi</w:t>
      </w:r>
      <w:proofErr w:type="spellEnd"/>
      <w:r w:rsidRPr="00CC0F76">
        <w:t>)</w:t>
      </w:r>
      <w:r>
        <w:t xml:space="preserve"> </w:t>
      </w:r>
      <w:r>
        <w:rPr>
          <w:noProof/>
        </w:rPr>
        <w:t>[3]</w:t>
      </w:r>
      <w:r>
        <w:t>. Avicenna</w:t>
      </w:r>
      <w:r w:rsidRPr="001539D6">
        <w:t xml:space="preserve"> (980-1037 AD) suggested that </w:t>
      </w:r>
      <w:r>
        <w:rPr>
          <w:i/>
          <w:iCs/>
          <w:noProof/>
        </w:rPr>
        <w:t>hozaz</w:t>
      </w:r>
      <w:r w:rsidRPr="001539D6">
        <w:t xml:space="preserve"> was the result of inappropriate changes in temperament (</w:t>
      </w:r>
      <w:proofErr w:type="spellStart"/>
      <w:r w:rsidRPr="00CC0F76">
        <w:rPr>
          <w:i/>
          <w:iCs/>
          <w:noProof/>
        </w:rPr>
        <w:t>F</w:t>
      </w:r>
      <w:r>
        <w:rPr>
          <w:i/>
          <w:iCs/>
          <w:noProof/>
        </w:rPr>
        <w:t>esad</w:t>
      </w:r>
      <w:proofErr w:type="spellEnd"/>
      <w:r w:rsidRPr="001539D6">
        <w:rPr>
          <w:i/>
          <w:iCs/>
        </w:rPr>
        <w:t>-e-</w:t>
      </w:r>
      <w:proofErr w:type="spellStart"/>
      <w:r w:rsidRPr="00CC0F76">
        <w:rPr>
          <w:i/>
          <w:iCs/>
          <w:noProof/>
        </w:rPr>
        <w:t>M</w:t>
      </w:r>
      <w:r>
        <w:rPr>
          <w:i/>
          <w:iCs/>
          <w:noProof/>
        </w:rPr>
        <w:t>ezaj</w:t>
      </w:r>
      <w:proofErr w:type="spellEnd"/>
      <w:r w:rsidRPr="001539D6">
        <w:t xml:space="preserve">) in </w:t>
      </w:r>
      <w:r>
        <w:t xml:space="preserve">the </w:t>
      </w:r>
      <w:r w:rsidRPr="001539D6">
        <w:t xml:space="preserve">external layer of </w:t>
      </w:r>
      <w:r>
        <w:t xml:space="preserve">the </w:t>
      </w:r>
      <w:r w:rsidRPr="001539D6">
        <w:t xml:space="preserve">head </w:t>
      </w:r>
      <w:r>
        <w:rPr>
          <w:noProof/>
        </w:rPr>
        <w:t>and/or</w:t>
      </w:r>
      <w:r w:rsidRPr="001539D6">
        <w:t xml:space="preserve"> the whole body due to </w:t>
      </w:r>
      <w:r>
        <w:rPr>
          <w:i/>
          <w:iCs/>
          <w:noProof/>
        </w:rPr>
        <w:t>Balgham</w:t>
      </w:r>
      <w:r w:rsidRPr="001539D6">
        <w:rPr>
          <w:i/>
          <w:iCs/>
        </w:rPr>
        <w:t xml:space="preserve"> </w:t>
      </w:r>
      <w:proofErr w:type="spellStart"/>
      <w:r w:rsidRPr="001539D6">
        <w:rPr>
          <w:i/>
          <w:iCs/>
        </w:rPr>
        <w:t>Booraghi</w:t>
      </w:r>
      <w:proofErr w:type="spellEnd"/>
      <w:r w:rsidRPr="001539D6">
        <w:t xml:space="preserve"> (</w:t>
      </w:r>
      <w:r w:rsidRPr="001539D6">
        <w:rPr>
          <w:i/>
          <w:iCs/>
        </w:rPr>
        <w:t>salty phlegm</w:t>
      </w:r>
      <w:r w:rsidRPr="001539D6">
        <w:t xml:space="preserve">) or </w:t>
      </w:r>
      <w:r>
        <w:rPr>
          <w:i/>
          <w:iCs/>
          <w:noProof/>
        </w:rPr>
        <w:t>Dam-e</w:t>
      </w:r>
      <w:r w:rsidRPr="001539D6">
        <w:rPr>
          <w:i/>
          <w:iCs/>
        </w:rPr>
        <w:t>-</w:t>
      </w:r>
      <w:proofErr w:type="spellStart"/>
      <w:r>
        <w:rPr>
          <w:i/>
          <w:iCs/>
          <w:noProof/>
        </w:rPr>
        <w:t>Sodavi</w:t>
      </w:r>
      <w:proofErr w:type="spellEnd"/>
      <w:r w:rsidRPr="001539D6">
        <w:t xml:space="preserve"> (blood mixed with soda </w:t>
      </w:r>
      <w:proofErr w:type="spellStart"/>
      <w:r w:rsidRPr="001539D6">
        <w:t>humor</w:t>
      </w:r>
      <w:proofErr w:type="spellEnd"/>
      <w:r w:rsidRPr="001539D6">
        <w:t xml:space="preserve">) </w:t>
      </w:r>
      <w:r>
        <w:rPr>
          <w:noProof/>
        </w:rPr>
        <w:t>[4]</w:t>
      </w:r>
      <w:r w:rsidRPr="001539D6">
        <w:t xml:space="preserve">. Several remedies </w:t>
      </w:r>
      <w:r>
        <w:rPr>
          <w:noProof/>
        </w:rPr>
        <w:t>are recommended</w:t>
      </w:r>
      <w:r w:rsidRPr="001539D6">
        <w:t xml:space="preserve"> for the treatment of </w:t>
      </w:r>
      <w:r>
        <w:rPr>
          <w:i/>
          <w:iCs/>
          <w:noProof/>
        </w:rPr>
        <w:t>hozaz</w:t>
      </w:r>
      <w:r w:rsidRPr="001539D6">
        <w:t xml:space="preserve"> in TPM. </w:t>
      </w:r>
      <w:r w:rsidRPr="001539D6">
        <w:rPr>
          <w:i/>
          <w:iCs/>
        </w:rPr>
        <w:t xml:space="preserve">Althaea </w:t>
      </w:r>
      <w:r>
        <w:rPr>
          <w:i/>
          <w:iCs/>
          <w:noProof/>
        </w:rPr>
        <w:t>officinalis</w:t>
      </w:r>
      <w:r w:rsidRPr="001539D6">
        <w:rPr>
          <w:i/>
          <w:iCs/>
        </w:rPr>
        <w:t xml:space="preserve"> </w:t>
      </w:r>
      <w:r w:rsidRPr="001539D6">
        <w:t xml:space="preserve">L. (named </w:t>
      </w:r>
      <w:r>
        <w:rPr>
          <w:i/>
          <w:iCs/>
          <w:noProof/>
        </w:rPr>
        <w:t>khatmi</w:t>
      </w:r>
      <w:r w:rsidRPr="001539D6">
        <w:t xml:space="preserve"> in TPM) is a plant with multiple medicinal effects according to </w:t>
      </w:r>
      <w:proofErr w:type="spellStart"/>
      <w:r w:rsidRPr="001539D6">
        <w:rPr>
          <w:i/>
          <w:iCs/>
          <w:lang w:bidi="fa-IR"/>
        </w:rPr>
        <w:t>Makhzan</w:t>
      </w:r>
      <w:proofErr w:type="spellEnd"/>
      <w:r w:rsidRPr="001539D6">
        <w:rPr>
          <w:i/>
          <w:iCs/>
          <w:lang w:bidi="fa-IR"/>
        </w:rPr>
        <w:t xml:space="preserve"> al-</w:t>
      </w:r>
      <w:proofErr w:type="spellStart"/>
      <w:r>
        <w:rPr>
          <w:i/>
          <w:iCs/>
          <w:noProof/>
          <w:lang w:bidi="fa-IR"/>
        </w:rPr>
        <w:t>Adviya</w:t>
      </w:r>
      <w:proofErr w:type="spellEnd"/>
      <w:r w:rsidRPr="001539D6">
        <w:rPr>
          <w:lang w:bidi="fa-IR"/>
        </w:rPr>
        <w:t xml:space="preserve"> (the storehouse of medicaments by </w:t>
      </w:r>
      <w:proofErr w:type="spellStart"/>
      <w:r w:rsidRPr="001539D6">
        <w:rPr>
          <w:i/>
          <w:iCs/>
          <w:lang w:bidi="fa-IR"/>
        </w:rPr>
        <w:t>Aghili</w:t>
      </w:r>
      <w:proofErr w:type="spellEnd"/>
      <w:r w:rsidRPr="001539D6">
        <w:rPr>
          <w:i/>
          <w:iCs/>
          <w:lang w:bidi="fa-IR"/>
        </w:rPr>
        <w:t xml:space="preserve"> </w:t>
      </w:r>
      <w:proofErr w:type="spellStart"/>
      <w:r w:rsidRPr="001539D6">
        <w:rPr>
          <w:i/>
          <w:iCs/>
          <w:lang w:bidi="fa-IR"/>
        </w:rPr>
        <w:t>Shirazi</w:t>
      </w:r>
      <w:proofErr w:type="spellEnd"/>
      <w:r w:rsidRPr="001539D6">
        <w:rPr>
          <w:lang w:bidi="fa-IR"/>
        </w:rPr>
        <w:t xml:space="preserve">, the </w:t>
      </w:r>
      <w:r>
        <w:rPr>
          <w:noProof/>
          <w:lang w:bidi="fa-IR"/>
        </w:rPr>
        <w:t>18</w:t>
      </w:r>
      <w:r>
        <w:rPr>
          <w:noProof/>
          <w:vertAlign w:val="superscript"/>
          <w:lang w:bidi="fa-IR"/>
        </w:rPr>
        <w:t>th</w:t>
      </w:r>
      <w:r>
        <w:rPr>
          <w:noProof/>
          <w:lang w:bidi="fa-IR"/>
        </w:rPr>
        <w:t>-century</w:t>
      </w:r>
      <w:r w:rsidRPr="001539D6">
        <w:rPr>
          <w:lang w:bidi="fa-IR"/>
        </w:rPr>
        <w:t xml:space="preserve"> great </w:t>
      </w:r>
      <w:r w:rsidRPr="001539D6">
        <w:rPr>
          <w:lang w:bidi="fa-IR"/>
        </w:rPr>
        <w:lastRenderedPageBreak/>
        <w:t>physician)</w:t>
      </w:r>
      <w:r w:rsidRPr="001539D6">
        <w:rPr>
          <w:noProof/>
          <w:lang w:bidi="fa-IR"/>
        </w:rPr>
        <w:t xml:space="preserve"> </w:t>
      </w:r>
      <w:r>
        <w:rPr>
          <w:noProof/>
          <w:lang w:bidi="fa-IR"/>
        </w:rPr>
        <w:t>[5]</w:t>
      </w:r>
      <w:r w:rsidRPr="001539D6">
        <w:rPr>
          <w:lang w:bidi="fa-IR"/>
        </w:rPr>
        <w:t xml:space="preserve">, in the treatment of skin and hair diseases including </w:t>
      </w:r>
      <w:r>
        <w:rPr>
          <w:i/>
          <w:iCs/>
          <w:noProof/>
          <w:lang w:bidi="fa-IR"/>
        </w:rPr>
        <w:t>hozaz</w:t>
      </w:r>
      <w:r w:rsidRPr="001539D6">
        <w:rPr>
          <w:lang w:bidi="fa-IR"/>
        </w:rPr>
        <w:t xml:space="preserve">. According to this book, topical application of </w:t>
      </w:r>
      <w:r>
        <w:rPr>
          <w:i/>
          <w:iCs/>
          <w:lang w:bidi="fa-IR"/>
        </w:rPr>
        <w:t>A.</w:t>
      </w:r>
      <w:r w:rsidRPr="00CC0F76">
        <w:rPr>
          <w:i/>
          <w:iCs/>
          <w:lang w:bidi="fa-IR"/>
        </w:rPr>
        <w:t xml:space="preserve"> </w:t>
      </w:r>
      <w:r w:rsidRPr="00CC0F76">
        <w:rPr>
          <w:i/>
          <w:iCs/>
          <w:noProof/>
          <w:lang w:bidi="fa-IR"/>
        </w:rPr>
        <w:t>officinalis</w:t>
      </w:r>
      <w:r w:rsidRPr="00CC0F76">
        <w:rPr>
          <w:i/>
          <w:iCs/>
          <w:lang w:bidi="fa-IR"/>
        </w:rPr>
        <w:t xml:space="preserve"> </w:t>
      </w:r>
      <w:r w:rsidRPr="001539D6">
        <w:rPr>
          <w:lang w:bidi="fa-IR"/>
        </w:rPr>
        <w:t>together with vinegar is useful for treatment and elimination of toxins from</w:t>
      </w:r>
      <w:r>
        <w:rPr>
          <w:lang w:bidi="fa-IR"/>
        </w:rPr>
        <w:t xml:space="preserve"> the</w:t>
      </w:r>
      <w:r w:rsidRPr="001539D6">
        <w:rPr>
          <w:lang w:bidi="fa-IR"/>
        </w:rPr>
        <w:t xml:space="preserve"> skin </w:t>
      </w:r>
      <w:r>
        <w:rPr>
          <w:noProof/>
          <w:lang w:bidi="fa-IR"/>
        </w:rPr>
        <w:t>[5]</w:t>
      </w:r>
      <w:r w:rsidRPr="001539D6">
        <w:rPr>
          <w:lang w:bidi="fa-IR"/>
        </w:rPr>
        <w:t xml:space="preserve">. </w:t>
      </w:r>
      <w:r w:rsidRPr="001539D6">
        <w:t xml:space="preserve">   </w:t>
      </w:r>
    </w:p>
    <w:p w:rsidR="00CA36D2" w:rsidRPr="001539D6" w:rsidRDefault="00CA36D2" w:rsidP="00322B35">
      <w:pPr>
        <w:jc w:val="both"/>
      </w:pPr>
      <w:r w:rsidRPr="001539D6">
        <w:t>In this paper, we present a female patient with chronic SD</w:t>
      </w:r>
      <w:r>
        <w:t xml:space="preserve"> and</w:t>
      </w:r>
      <w:r w:rsidRPr="001539D6">
        <w:t xml:space="preserve"> resistance to </w:t>
      </w:r>
      <w:r>
        <w:rPr>
          <w:noProof/>
        </w:rPr>
        <w:t>usual</w:t>
      </w:r>
      <w:r w:rsidRPr="001539D6">
        <w:t xml:space="preserve"> treatments</w:t>
      </w:r>
      <w:r>
        <w:t>;</w:t>
      </w:r>
      <w:r w:rsidRPr="001539D6">
        <w:t xml:space="preserve"> </w:t>
      </w:r>
      <w:r>
        <w:t>she</w:t>
      </w:r>
      <w:r w:rsidRPr="001539D6">
        <w:t xml:space="preserve"> was treated successfully with the </w:t>
      </w:r>
      <w:r>
        <w:rPr>
          <w:noProof/>
        </w:rPr>
        <w:t>approach mentioned above</w:t>
      </w:r>
      <w:r>
        <w:t>.</w:t>
      </w:r>
    </w:p>
    <w:p w:rsidR="00CA36D2" w:rsidRPr="001539D6" w:rsidRDefault="00CA36D2" w:rsidP="00553C8A">
      <w:pPr>
        <w:jc w:val="both"/>
        <w:rPr>
          <w:b/>
          <w:bCs/>
        </w:rPr>
      </w:pPr>
      <w:r w:rsidRPr="001539D6">
        <w:rPr>
          <w:b/>
          <w:bCs/>
        </w:rPr>
        <w:t xml:space="preserve">Case </w:t>
      </w:r>
      <w:r>
        <w:rPr>
          <w:b/>
          <w:bCs/>
        </w:rPr>
        <w:t>P</w:t>
      </w:r>
      <w:r w:rsidRPr="001539D6">
        <w:rPr>
          <w:b/>
          <w:bCs/>
        </w:rPr>
        <w:t>resentation</w:t>
      </w:r>
    </w:p>
    <w:p w:rsidR="00CA36D2" w:rsidRDefault="00CA36D2">
      <w:pPr>
        <w:jc w:val="both"/>
      </w:pPr>
      <w:r w:rsidRPr="001539D6">
        <w:t xml:space="preserve">A 32-year-old otherwise healthy woman suffering from severe SD in her scalp for the past 12 years </w:t>
      </w:r>
      <w:r>
        <w:rPr>
          <w:noProof/>
        </w:rPr>
        <w:t>was referred</w:t>
      </w:r>
      <w:r w:rsidRPr="001539D6">
        <w:t xml:space="preserve"> to </w:t>
      </w:r>
      <w:r>
        <w:t>TPM</w:t>
      </w:r>
      <w:r w:rsidRPr="001539D6">
        <w:t xml:space="preserve"> Clinic, Shiraz University of Medical Sciences, </w:t>
      </w:r>
      <w:proofErr w:type="gramStart"/>
      <w:r w:rsidRPr="001539D6">
        <w:t>Shiraz</w:t>
      </w:r>
      <w:proofErr w:type="gramEnd"/>
      <w:r w:rsidRPr="001539D6">
        <w:t xml:space="preserve">, Iran. She was treated by several dermatologists and internal disease specialists, with the diagnosis of </w:t>
      </w:r>
      <w:proofErr w:type="spellStart"/>
      <w:r w:rsidRPr="001539D6">
        <w:t>seborrheic</w:t>
      </w:r>
      <w:proofErr w:type="spellEnd"/>
      <w:r w:rsidRPr="001539D6">
        <w:t xml:space="preserve"> dermatitis and used several topical corticosteroids and </w:t>
      </w:r>
      <w:proofErr w:type="spellStart"/>
      <w:r w:rsidRPr="001539D6">
        <w:t>antifungals</w:t>
      </w:r>
      <w:proofErr w:type="spellEnd"/>
      <w:r w:rsidRPr="001539D6">
        <w:t>, with only partial and temporary effects. P</w:t>
      </w:r>
      <w:r>
        <w:t>a</w:t>
      </w:r>
      <w:r w:rsidRPr="001539D6">
        <w:t>st</w:t>
      </w:r>
      <w:r>
        <w:t xml:space="preserve"> </w:t>
      </w:r>
      <w:r w:rsidRPr="001539D6">
        <w:t xml:space="preserve">medical history </w:t>
      </w:r>
      <w:r>
        <w:t>was</w:t>
      </w:r>
      <w:r w:rsidRPr="001539D6">
        <w:t xml:space="preserve"> unremarkable.  On physical examination, blood pressure was 110/70 mmHg, respiratory rate 18 per minute, temperature 36.8</w:t>
      </w:r>
      <w:r w:rsidRPr="001539D6">
        <w:rPr>
          <w:vertAlign w:val="superscript"/>
        </w:rPr>
        <w:t>0</w:t>
      </w:r>
      <w:r w:rsidRPr="001539D6">
        <w:t>C</w:t>
      </w:r>
      <w:r>
        <w:t>,</w:t>
      </w:r>
      <w:r w:rsidRPr="001539D6">
        <w:t xml:space="preserve"> and pulse rate 70/min. General physical examination</w:t>
      </w:r>
      <w:r>
        <w:t xml:space="preserve"> was</w:t>
      </w:r>
      <w:r w:rsidRPr="001539D6">
        <w:t xml:space="preserve"> unremarkable. </w:t>
      </w:r>
    </w:p>
    <w:p w:rsidR="00CA36D2" w:rsidRDefault="00CA36D2">
      <w:pPr>
        <w:jc w:val="both"/>
      </w:pPr>
      <w:r w:rsidRPr="001539D6">
        <w:t xml:space="preserve">The patient was instructed to take </w:t>
      </w:r>
      <w:r>
        <w:rPr>
          <w:noProof/>
        </w:rPr>
        <w:t>a topical</w:t>
      </w:r>
      <w:r w:rsidRPr="001539D6">
        <w:t xml:space="preserve"> product of 50 grams of powder of </w:t>
      </w:r>
      <w:r>
        <w:rPr>
          <w:i/>
          <w:iCs/>
        </w:rPr>
        <w:t>A.</w:t>
      </w:r>
      <w:r w:rsidRPr="001539D6">
        <w:rPr>
          <w:i/>
          <w:iCs/>
        </w:rPr>
        <w:t xml:space="preserve"> </w:t>
      </w:r>
      <w:r>
        <w:rPr>
          <w:i/>
          <w:iCs/>
          <w:noProof/>
        </w:rPr>
        <w:t>officinalis</w:t>
      </w:r>
      <w:r w:rsidRPr="001539D6">
        <w:rPr>
          <w:i/>
          <w:iCs/>
        </w:rPr>
        <w:t xml:space="preserve"> </w:t>
      </w:r>
      <w:r w:rsidRPr="001539D6">
        <w:t xml:space="preserve">dry leaf mixed with 5cc grape vinegar in lotion form on her head for 20 minutes twice weekly for one month. No other drug </w:t>
      </w:r>
      <w:r>
        <w:rPr>
          <w:noProof/>
        </w:rPr>
        <w:t>was prescribed</w:t>
      </w:r>
      <w:r w:rsidRPr="001539D6">
        <w:t xml:space="preserve"> for the patient.</w:t>
      </w:r>
    </w:p>
    <w:p w:rsidR="00CA36D2" w:rsidRPr="001539D6" w:rsidRDefault="00CA36D2" w:rsidP="00006A17">
      <w:pPr>
        <w:jc w:val="both"/>
        <w:rPr>
          <w:rFonts w:ascii="TimesNewRoman" w:hAnsi="TimesNewRoman" w:cs="TimesNewRoman"/>
          <w:lang w:bidi="fa-IR"/>
        </w:rPr>
      </w:pPr>
      <w:r w:rsidRPr="001539D6">
        <w:t xml:space="preserve">She was also recommended to respect healthy lifestyle based on TPM, including suggestions to avoid fast foods, industrial drinks, canned foods, </w:t>
      </w:r>
      <w:r w:rsidRPr="001539D6">
        <w:rPr>
          <w:rFonts w:ascii="TimesNewRoman" w:hAnsi="TimesNewRoman" w:cs="TimesNewRoman"/>
          <w:lang w:bidi="fa-IR"/>
        </w:rPr>
        <w:t>frizz</w:t>
      </w:r>
      <w:r>
        <w:rPr>
          <w:rFonts w:ascii="TimesNewRoman" w:hAnsi="TimesNewRoman" w:cs="TimesNewRoman"/>
          <w:lang w:bidi="fa-IR"/>
        </w:rPr>
        <w:t>y</w:t>
      </w:r>
      <w:r w:rsidRPr="001539D6">
        <w:rPr>
          <w:rFonts w:ascii="TimesNewRoman" w:hAnsi="TimesNewRoman" w:cs="TimesNewRoman"/>
          <w:lang w:bidi="fa-IR"/>
        </w:rPr>
        <w:t xml:space="preserve"> foods, and </w:t>
      </w:r>
      <w:r>
        <w:rPr>
          <w:rFonts w:ascii="TimesNewRoman" w:hAnsi="TimesNewRoman" w:cs="TimesNewRoman"/>
          <w:noProof/>
          <w:lang w:bidi="fa-IR"/>
        </w:rPr>
        <w:t>chili</w:t>
      </w:r>
      <w:r w:rsidRPr="001539D6">
        <w:rPr>
          <w:rFonts w:ascii="TimesNewRoman" w:hAnsi="TimesNewRoman" w:cs="TimesNewRoman"/>
          <w:lang w:bidi="fa-IR"/>
        </w:rPr>
        <w:t xml:space="preserve"> or salty foods</w:t>
      </w:r>
      <w:r w:rsidRPr="001539D6">
        <w:t xml:space="preserve"> </w:t>
      </w:r>
      <w:r>
        <w:rPr>
          <w:rFonts w:ascii="TimesNewRoman" w:hAnsi="TimesNewRoman" w:cs="TimesNewRoman"/>
          <w:lang w:bidi="fa-IR"/>
        </w:rPr>
        <w:t>as well as</w:t>
      </w:r>
      <w:r w:rsidRPr="001539D6">
        <w:rPr>
          <w:rFonts w:ascii="TimesNewRoman" w:hAnsi="TimesNewRoman" w:cs="TimesNewRoman"/>
          <w:lang w:bidi="fa-IR"/>
        </w:rPr>
        <w:t xml:space="preserve"> attention to restful sleep and avoidance of constipation</w:t>
      </w:r>
      <w:r>
        <w:rPr>
          <w:rFonts w:ascii="TimesNewRoman" w:hAnsi="TimesNewRoman" w:cs="TimesNewRoman"/>
          <w:lang w:bidi="fa-IR"/>
        </w:rPr>
        <w:t xml:space="preserve"> </w:t>
      </w:r>
      <w:r>
        <w:rPr>
          <w:rFonts w:ascii="TimesNewRoman" w:hAnsi="TimesNewRoman" w:cs="TimesNewRoman"/>
          <w:noProof/>
          <w:lang w:bidi="fa-IR"/>
        </w:rPr>
        <w:t>[4]</w:t>
      </w:r>
      <w:r w:rsidRPr="001539D6">
        <w:rPr>
          <w:rFonts w:ascii="TimesNewRoman" w:hAnsi="TimesNewRoman" w:cs="TimesNewRoman"/>
          <w:lang w:bidi="fa-IR"/>
        </w:rPr>
        <w:t xml:space="preserve">. </w:t>
      </w:r>
    </w:p>
    <w:p w:rsidR="00CA36D2" w:rsidRPr="001539D6" w:rsidRDefault="00CA36D2" w:rsidP="009233B2">
      <w:pPr>
        <w:jc w:val="both"/>
      </w:pPr>
      <w:r w:rsidRPr="001539D6">
        <w:t xml:space="preserve">In the one-month follow-up, the patient mentioned that the </w:t>
      </w:r>
      <w:r>
        <w:rPr>
          <w:noProof/>
        </w:rPr>
        <w:t>scurf</w:t>
      </w:r>
      <w:r w:rsidRPr="001539D6">
        <w:t xml:space="preserve"> </w:t>
      </w:r>
      <w:r>
        <w:rPr>
          <w:noProof/>
        </w:rPr>
        <w:t>was removed</w:t>
      </w:r>
      <w:r w:rsidRPr="001539D6">
        <w:t xml:space="preserve"> from her scalp like a thick cradle cap after topically applying </w:t>
      </w:r>
      <w:r>
        <w:rPr>
          <w:i/>
          <w:iCs/>
        </w:rPr>
        <w:t>A.</w:t>
      </w:r>
      <w:r w:rsidRPr="001539D6">
        <w:rPr>
          <w:i/>
          <w:iCs/>
        </w:rPr>
        <w:t xml:space="preserve"> </w:t>
      </w:r>
      <w:r>
        <w:rPr>
          <w:i/>
          <w:iCs/>
          <w:noProof/>
        </w:rPr>
        <w:t>officinalis</w:t>
      </w:r>
      <w:r w:rsidRPr="001539D6">
        <w:rPr>
          <w:i/>
          <w:iCs/>
        </w:rPr>
        <w:t xml:space="preserve"> </w:t>
      </w:r>
      <w:r w:rsidRPr="001539D6">
        <w:t>for 20 minutes for just two times. She reported moderate redness of her scalp for a few minutes following application without any burning or itching sensation. The patient did not continue using the topical preparation after improvement, i.e</w:t>
      </w:r>
      <w:r>
        <w:t>.</w:t>
      </w:r>
      <w:r w:rsidRPr="001539D6">
        <w:t xml:space="preserve"> more than twice.    </w:t>
      </w:r>
    </w:p>
    <w:p w:rsidR="00CA36D2" w:rsidRPr="001539D6" w:rsidRDefault="00CA36D2" w:rsidP="000F173F">
      <w:pPr>
        <w:jc w:val="both"/>
      </w:pPr>
      <w:r w:rsidRPr="001539D6">
        <w:lastRenderedPageBreak/>
        <w:t xml:space="preserve">In the four months’ follow-up, a complete response </w:t>
      </w:r>
      <w:r>
        <w:rPr>
          <w:noProof/>
        </w:rPr>
        <w:t>was noticed</w:t>
      </w:r>
      <w:r w:rsidRPr="001539D6">
        <w:t xml:space="preserve">. No scaling, </w:t>
      </w:r>
      <w:r>
        <w:rPr>
          <w:noProof/>
        </w:rPr>
        <w:t>itching,</w:t>
      </w:r>
      <w:r w:rsidRPr="001539D6">
        <w:t xml:space="preserve"> and </w:t>
      </w:r>
      <w:proofErr w:type="spellStart"/>
      <w:r w:rsidRPr="001539D6">
        <w:t>erythema</w:t>
      </w:r>
      <w:proofErr w:type="spellEnd"/>
      <w:r w:rsidRPr="001539D6">
        <w:t xml:space="preserve"> </w:t>
      </w:r>
      <w:r>
        <w:rPr>
          <w:noProof/>
        </w:rPr>
        <w:t>were noted</w:t>
      </w:r>
      <w:r w:rsidRPr="001539D6">
        <w:t xml:space="preserve"> on physical examination of the scalp.  </w:t>
      </w:r>
    </w:p>
    <w:p w:rsidR="00CA36D2" w:rsidRPr="001539D6" w:rsidRDefault="00CA36D2" w:rsidP="00553C8A">
      <w:pPr>
        <w:jc w:val="both"/>
        <w:rPr>
          <w:b/>
          <w:bCs/>
        </w:rPr>
      </w:pPr>
      <w:r w:rsidRPr="001539D6">
        <w:rPr>
          <w:b/>
          <w:bCs/>
        </w:rPr>
        <w:t>Discussion</w:t>
      </w:r>
    </w:p>
    <w:p w:rsidR="00CA36D2" w:rsidRPr="001539D6" w:rsidRDefault="00CA36D2" w:rsidP="00006A17">
      <w:pPr>
        <w:jc w:val="both"/>
      </w:pPr>
      <w:r w:rsidRPr="001539D6">
        <w:t xml:space="preserve">SD is a relapsing and chronic form of dermatitis </w:t>
      </w:r>
      <w:r>
        <w:rPr>
          <w:noProof/>
        </w:rPr>
        <w:t>[2]</w:t>
      </w:r>
      <w:r w:rsidRPr="001539D6">
        <w:t xml:space="preserve">. </w:t>
      </w:r>
      <w:r>
        <w:rPr>
          <w:noProof/>
        </w:rPr>
        <w:t>The severity</w:t>
      </w:r>
      <w:r w:rsidRPr="001539D6">
        <w:t xml:space="preserve"> of this disease varies from mild and </w:t>
      </w:r>
      <w:r>
        <w:t xml:space="preserve">is </w:t>
      </w:r>
      <w:r w:rsidRPr="001539D6">
        <w:t xml:space="preserve">limited to the scalp to diffuse involvement of the </w:t>
      </w:r>
      <w:proofErr w:type="spellStart"/>
      <w:r w:rsidRPr="001539D6">
        <w:t>seborrheic</w:t>
      </w:r>
      <w:proofErr w:type="spellEnd"/>
      <w:r w:rsidRPr="001539D6">
        <w:t xml:space="preserve"> areas of </w:t>
      </w:r>
      <w:r>
        <w:t xml:space="preserve">the </w:t>
      </w:r>
      <w:r w:rsidRPr="001539D6">
        <w:t>body</w:t>
      </w:r>
      <w:r w:rsidRPr="001539D6">
        <w:rPr>
          <w:noProof/>
        </w:rPr>
        <w:t xml:space="preserve"> [6]</w:t>
      </w:r>
      <w:r w:rsidRPr="001539D6">
        <w:t xml:space="preserve">. </w:t>
      </w:r>
      <w:r>
        <w:rPr>
          <w:noProof/>
        </w:rPr>
        <w:t>Dandruff is</w:t>
      </w:r>
      <w:r w:rsidRPr="001539D6">
        <w:t xml:space="preserve"> </w:t>
      </w:r>
      <w:r>
        <w:rPr>
          <w:noProof/>
        </w:rPr>
        <w:t>limited</w:t>
      </w:r>
      <w:r w:rsidRPr="001539D6">
        <w:t xml:space="preserve"> to the scalp, but SD can involve the scalp as well as other </w:t>
      </w:r>
      <w:proofErr w:type="spellStart"/>
      <w:r w:rsidRPr="001539D6">
        <w:t>seborrheic</w:t>
      </w:r>
      <w:proofErr w:type="spellEnd"/>
      <w:r w:rsidRPr="001539D6">
        <w:t xml:space="preserve"> </w:t>
      </w:r>
      <w:r>
        <w:rPr>
          <w:noProof/>
        </w:rPr>
        <w:t>regions</w:t>
      </w:r>
      <w:r>
        <w:t xml:space="preserve"> </w:t>
      </w:r>
      <w:r w:rsidRPr="001539D6">
        <w:t xml:space="preserve">with different signs and symptoms, including </w:t>
      </w:r>
      <w:proofErr w:type="spellStart"/>
      <w:r w:rsidRPr="001539D6">
        <w:t>pruritus</w:t>
      </w:r>
      <w:proofErr w:type="spellEnd"/>
      <w:r w:rsidRPr="001539D6">
        <w:t>, mild to moderate inflammation</w:t>
      </w:r>
      <w:r>
        <w:t>,</w:t>
      </w:r>
      <w:r w:rsidRPr="001539D6">
        <w:t xml:space="preserve"> and flaking of the skin</w:t>
      </w:r>
      <w:r w:rsidRPr="001539D6">
        <w:rPr>
          <w:noProof/>
        </w:rPr>
        <w:t xml:space="preserve"> [1]</w:t>
      </w:r>
      <w:r w:rsidRPr="001539D6">
        <w:t xml:space="preserve">. </w:t>
      </w:r>
      <w:r>
        <w:rPr>
          <w:i/>
          <w:iCs/>
          <w:noProof/>
        </w:rPr>
        <w:t>Hozaz</w:t>
      </w:r>
      <w:r w:rsidRPr="001539D6">
        <w:t xml:space="preserve"> is a disease with most similar symptoms to SD in TPM. These include</w:t>
      </w:r>
      <w:r>
        <w:t xml:space="preserve"> the</w:t>
      </w:r>
      <w:r w:rsidRPr="001539D6">
        <w:t xml:space="preserve"> </w:t>
      </w:r>
      <w:r>
        <w:rPr>
          <w:noProof/>
        </w:rPr>
        <w:t>appearance</w:t>
      </w:r>
      <w:r w:rsidRPr="001539D6">
        <w:t xml:space="preserve"> of small size scale and scurf</w:t>
      </w:r>
      <w:r>
        <w:t>-</w:t>
      </w:r>
      <w:r w:rsidRPr="001539D6">
        <w:t xml:space="preserve">like bran </w:t>
      </w:r>
      <w:r w:rsidRPr="001539D6">
        <w:rPr>
          <w:i/>
          <w:iCs/>
        </w:rPr>
        <w:t>(</w:t>
      </w:r>
      <w:proofErr w:type="spellStart"/>
      <w:r>
        <w:rPr>
          <w:i/>
          <w:iCs/>
          <w:noProof/>
        </w:rPr>
        <w:t>saboos</w:t>
      </w:r>
      <w:proofErr w:type="spellEnd"/>
      <w:r w:rsidRPr="001539D6">
        <w:rPr>
          <w:i/>
          <w:iCs/>
        </w:rPr>
        <w:t>)</w:t>
      </w:r>
      <w:r w:rsidRPr="001539D6">
        <w:t xml:space="preserve"> on the skin and hair without ulceration </w:t>
      </w:r>
      <w:r>
        <w:rPr>
          <w:noProof/>
        </w:rPr>
        <w:t>[4]</w:t>
      </w:r>
      <w:r w:rsidRPr="001539D6">
        <w:t>.</w:t>
      </w:r>
    </w:p>
    <w:p w:rsidR="00CA36D2" w:rsidRPr="001539D6" w:rsidRDefault="00CA36D2" w:rsidP="00006A17">
      <w:pPr>
        <w:jc w:val="both"/>
      </w:pPr>
      <w:r w:rsidRPr="001539D6">
        <w:t xml:space="preserve">According to TPM, </w:t>
      </w:r>
      <w:r>
        <w:rPr>
          <w:i/>
          <w:iCs/>
          <w:noProof/>
        </w:rPr>
        <w:t>hozaz</w:t>
      </w:r>
      <w:r w:rsidRPr="001539D6">
        <w:t xml:space="preserve"> occurs in choleric temperaments (</w:t>
      </w:r>
      <w:proofErr w:type="spellStart"/>
      <w:r w:rsidRPr="00CC0F76">
        <w:rPr>
          <w:i/>
          <w:iCs/>
          <w:noProof/>
        </w:rPr>
        <w:t>M</w:t>
      </w:r>
      <w:r>
        <w:rPr>
          <w:i/>
          <w:iCs/>
          <w:noProof/>
        </w:rPr>
        <w:t>ejaz</w:t>
      </w:r>
      <w:proofErr w:type="spellEnd"/>
      <w:r w:rsidRPr="001539D6">
        <w:rPr>
          <w:i/>
          <w:iCs/>
        </w:rPr>
        <w:t>-e-</w:t>
      </w:r>
      <w:proofErr w:type="spellStart"/>
      <w:r w:rsidRPr="00CC0F76">
        <w:rPr>
          <w:i/>
          <w:iCs/>
          <w:noProof/>
        </w:rPr>
        <w:t>S</w:t>
      </w:r>
      <w:r>
        <w:rPr>
          <w:i/>
          <w:iCs/>
          <w:noProof/>
        </w:rPr>
        <w:t>afravi</w:t>
      </w:r>
      <w:proofErr w:type="spellEnd"/>
      <w:r w:rsidRPr="001539D6">
        <w:t>)</w:t>
      </w:r>
      <w:r>
        <w:t>, and</w:t>
      </w:r>
      <w:r w:rsidRPr="001539D6">
        <w:t xml:space="preserve"> consum</w:t>
      </w:r>
      <w:r>
        <w:t>ption</w:t>
      </w:r>
      <w:r w:rsidRPr="001539D6">
        <w:t xml:space="preserve"> of hot natur</w:t>
      </w:r>
      <w:r>
        <w:t>al</w:t>
      </w:r>
      <w:r w:rsidRPr="001539D6">
        <w:t xml:space="preserve"> foods and drugs, based on TPM knowledge are associated with it</w:t>
      </w:r>
      <w:r w:rsidRPr="001539D6">
        <w:rPr>
          <w:noProof/>
        </w:rPr>
        <w:t xml:space="preserve"> </w:t>
      </w:r>
      <w:r>
        <w:rPr>
          <w:noProof/>
        </w:rPr>
        <w:t>[4]</w:t>
      </w:r>
      <w:r w:rsidRPr="001539D6">
        <w:t xml:space="preserve">. </w:t>
      </w:r>
    </w:p>
    <w:p w:rsidR="00CA36D2" w:rsidRPr="001539D6" w:rsidRDefault="00CA36D2" w:rsidP="00006A17">
      <w:pPr>
        <w:jc w:val="both"/>
      </w:pPr>
      <w:r w:rsidRPr="001539D6">
        <w:t xml:space="preserve">Several studies have evaluated the pharmacologic effects of </w:t>
      </w:r>
      <w:r w:rsidRPr="001539D6">
        <w:rPr>
          <w:i/>
          <w:iCs/>
        </w:rPr>
        <w:t>A</w:t>
      </w:r>
      <w:r>
        <w:rPr>
          <w:i/>
          <w:iCs/>
        </w:rPr>
        <w:t>.</w:t>
      </w:r>
      <w:r w:rsidRPr="001539D6">
        <w:rPr>
          <w:i/>
          <w:iCs/>
        </w:rPr>
        <w:t xml:space="preserve"> </w:t>
      </w:r>
      <w:r>
        <w:rPr>
          <w:i/>
          <w:iCs/>
          <w:noProof/>
        </w:rPr>
        <w:t>officinalis</w:t>
      </w:r>
      <w:r w:rsidRPr="001539D6">
        <w:t xml:space="preserve">. </w:t>
      </w:r>
      <w:proofErr w:type="spellStart"/>
      <w:r w:rsidRPr="001539D6">
        <w:t>Rezaei</w:t>
      </w:r>
      <w:proofErr w:type="spellEnd"/>
      <w:r w:rsidRPr="001539D6">
        <w:t xml:space="preserve"> </w:t>
      </w:r>
      <w:r w:rsidRPr="001539D6">
        <w:rPr>
          <w:i/>
          <w:iCs/>
        </w:rPr>
        <w:t>et al</w:t>
      </w:r>
      <w:r w:rsidRPr="001539D6">
        <w:t xml:space="preserve">. have demonstrated wound healing and antibacterial effects of </w:t>
      </w:r>
      <w:r w:rsidRPr="001539D6">
        <w:rPr>
          <w:i/>
          <w:iCs/>
        </w:rPr>
        <w:t>A</w:t>
      </w:r>
      <w:r>
        <w:rPr>
          <w:i/>
          <w:iCs/>
        </w:rPr>
        <w:t>.</w:t>
      </w:r>
      <w:r w:rsidRPr="001539D6">
        <w:rPr>
          <w:i/>
          <w:iCs/>
        </w:rPr>
        <w:t xml:space="preserve"> </w:t>
      </w:r>
      <w:r>
        <w:rPr>
          <w:i/>
          <w:iCs/>
          <w:noProof/>
        </w:rPr>
        <w:t>officinalis</w:t>
      </w:r>
      <w:r w:rsidRPr="001539D6">
        <w:rPr>
          <w:i/>
          <w:iCs/>
        </w:rPr>
        <w:t xml:space="preserve"> </w:t>
      </w:r>
      <w:r w:rsidRPr="001539D6">
        <w:t>in a rat mode</w:t>
      </w:r>
      <w:r>
        <w:t>l</w:t>
      </w:r>
      <w:r w:rsidRPr="001539D6">
        <w:rPr>
          <w:noProof/>
        </w:rPr>
        <w:t xml:space="preserve"> [7]</w:t>
      </w:r>
      <w:r w:rsidRPr="001539D6">
        <w:t xml:space="preserve">.  Another study has confirmed its antibacterial effect </w:t>
      </w:r>
      <w:r w:rsidRPr="001539D6">
        <w:rPr>
          <w:noProof/>
        </w:rPr>
        <w:t>[8]</w:t>
      </w:r>
      <w:r w:rsidRPr="001539D6">
        <w:t xml:space="preserve">. Antioxidant effect of its root </w:t>
      </w:r>
      <w:r>
        <w:rPr>
          <w:noProof/>
        </w:rPr>
        <w:t>is also demonstrated</w:t>
      </w:r>
      <w:r w:rsidRPr="001539D6">
        <w:t xml:space="preserve">.  Anti-inflammatory and antifungal effects of </w:t>
      </w:r>
      <w:r w:rsidRPr="001539D6">
        <w:rPr>
          <w:i/>
          <w:iCs/>
        </w:rPr>
        <w:t>A</w:t>
      </w:r>
      <w:r>
        <w:rPr>
          <w:i/>
          <w:iCs/>
        </w:rPr>
        <w:t>.</w:t>
      </w:r>
      <w:r w:rsidRPr="001539D6">
        <w:rPr>
          <w:i/>
          <w:iCs/>
        </w:rPr>
        <w:t xml:space="preserve"> </w:t>
      </w:r>
      <w:r>
        <w:rPr>
          <w:i/>
          <w:iCs/>
          <w:noProof/>
        </w:rPr>
        <w:t>officinalis</w:t>
      </w:r>
      <w:r w:rsidRPr="001539D6">
        <w:rPr>
          <w:i/>
          <w:iCs/>
        </w:rPr>
        <w:t xml:space="preserve"> </w:t>
      </w:r>
      <w:r w:rsidRPr="001539D6">
        <w:t xml:space="preserve">were </w:t>
      </w:r>
      <w:r>
        <w:rPr>
          <w:noProof/>
        </w:rPr>
        <w:t>demonstrated</w:t>
      </w:r>
      <w:r w:rsidRPr="001539D6">
        <w:t xml:space="preserve"> in an </w:t>
      </w:r>
      <w:r w:rsidRPr="00CC0F76">
        <w:rPr>
          <w:i/>
          <w:iCs/>
        </w:rPr>
        <w:t>in</w:t>
      </w:r>
      <w:r>
        <w:rPr>
          <w:i/>
          <w:iCs/>
        </w:rPr>
        <w:t xml:space="preserve"> </w:t>
      </w:r>
      <w:r w:rsidRPr="00CC0F76">
        <w:rPr>
          <w:i/>
          <w:iCs/>
        </w:rPr>
        <w:t>vivo</w:t>
      </w:r>
      <w:r w:rsidRPr="001539D6">
        <w:t xml:space="preserve"> study by </w:t>
      </w:r>
      <w:proofErr w:type="spellStart"/>
      <w:r w:rsidRPr="001539D6">
        <w:t>Korbekandi</w:t>
      </w:r>
      <w:proofErr w:type="spellEnd"/>
      <w:r w:rsidRPr="001539D6">
        <w:t xml:space="preserve"> </w:t>
      </w:r>
      <w:r w:rsidRPr="001539D6">
        <w:rPr>
          <w:i/>
          <w:iCs/>
        </w:rPr>
        <w:t>et al</w:t>
      </w:r>
      <w:r>
        <w:rPr>
          <w:i/>
          <w:iCs/>
        </w:rPr>
        <w:t>.</w:t>
      </w:r>
      <w:r w:rsidRPr="001539D6">
        <w:rPr>
          <w:i/>
          <w:iCs/>
        </w:rPr>
        <w:t xml:space="preserve"> </w:t>
      </w:r>
      <w:r w:rsidRPr="001539D6">
        <w:rPr>
          <w:noProof/>
        </w:rPr>
        <w:t>[9]</w:t>
      </w:r>
      <w:r w:rsidRPr="001539D6">
        <w:t xml:space="preserve">. These anti-inflammatory and antifungal effects justify its use for treatment of SD.  There is no report on its side-effects or drug interaction. </w:t>
      </w:r>
      <w:r w:rsidRPr="001539D6">
        <w:rPr>
          <w:i/>
          <w:iCs/>
        </w:rPr>
        <w:t>A</w:t>
      </w:r>
      <w:r>
        <w:rPr>
          <w:i/>
          <w:iCs/>
        </w:rPr>
        <w:t>.</w:t>
      </w:r>
      <w:r w:rsidRPr="001539D6">
        <w:rPr>
          <w:i/>
          <w:iCs/>
        </w:rPr>
        <w:t xml:space="preserve"> </w:t>
      </w:r>
      <w:r>
        <w:rPr>
          <w:i/>
          <w:iCs/>
          <w:noProof/>
        </w:rPr>
        <w:t>officinalis</w:t>
      </w:r>
      <w:r w:rsidRPr="001539D6">
        <w:rPr>
          <w:i/>
          <w:iCs/>
        </w:rPr>
        <w:t xml:space="preserve"> </w:t>
      </w:r>
      <w:r w:rsidRPr="001539D6">
        <w:t xml:space="preserve">is named </w:t>
      </w:r>
      <w:r>
        <w:rPr>
          <w:i/>
          <w:iCs/>
          <w:noProof/>
        </w:rPr>
        <w:t>Khatmi</w:t>
      </w:r>
      <w:r w:rsidRPr="001539D6">
        <w:t xml:space="preserve"> in TPM and is popular for topical use in dermatologic conditions with inflammation </w:t>
      </w:r>
      <w:r>
        <w:rPr>
          <w:noProof/>
        </w:rPr>
        <w:t>and/or</w:t>
      </w:r>
      <w:r w:rsidRPr="001539D6">
        <w:t xml:space="preserve"> scaling </w:t>
      </w:r>
      <w:r>
        <w:rPr>
          <w:noProof/>
        </w:rPr>
        <w:t>[5]</w:t>
      </w:r>
      <w:r w:rsidRPr="001539D6">
        <w:t xml:space="preserve">.  </w:t>
      </w:r>
    </w:p>
    <w:p w:rsidR="00CA36D2" w:rsidRDefault="00CA36D2" w:rsidP="00006A17">
      <w:pPr>
        <w:jc w:val="both"/>
      </w:pPr>
      <w:r w:rsidRPr="001539D6">
        <w:t>Vinegar is added to many TPM's dermatologic formulations to increase the penetration of ingredients. Vinegar is known to have polisher (</w:t>
      </w:r>
      <w:proofErr w:type="spellStart"/>
      <w:r w:rsidRPr="001539D6">
        <w:rPr>
          <w:i/>
          <w:iCs/>
        </w:rPr>
        <w:t>jaali</w:t>
      </w:r>
      <w:proofErr w:type="spellEnd"/>
      <w:r w:rsidRPr="001539D6">
        <w:t>), escorting (</w:t>
      </w:r>
      <w:proofErr w:type="spellStart"/>
      <w:r>
        <w:rPr>
          <w:i/>
          <w:iCs/>
          <w:noProof/>
        </w:rPr>
        <w:t>mobadregh</w:t>
      </w:r>
      <w:proofErr w:type="spellEnd"/>
      <w:r w:rsidRPr="001539D6">
        <w:t>), penetrating (</w:t>
      </w:r>
      <w:proofErr w:type="spellStart"/>
      <w:r>
        <w:rPr>
          <w:i/>
          <w:iCs/>
          <w:noProof/>
        </w:rPr>
        <w:t>nafez</w:t>
      </w:r>
      <w:proofErr w:type="spellEnd"/>
      <w:r w:rsidRPr="001539D6">
        <w:t xml:space="preserve">) and </w:t>
      </w:r>
      <w:proofErr w:type="spellStart"/>
      <w:r w:rsidRPr="001539D6">
        <w:t>siccative</w:t>
      </w:r>
      <w:proofErr w:type="spellEnd"/>
      <w:r w:rsidRPr="001539D6">
        <w:t xml:space="preserve"> (</w:t>
      </w:r>
      <w:proofErr w:type="spellStart"/>
      <w:r>
        <w:rPr>
          <w:i/>
          <w:iCs/>
          <w:noProof/>
        </w:rPr>
        <w:t>mojaffef</w:t>
      </w:r>
      <w:proofErr w:type="spellEnd"/>
      <w:r w:rsidRPr="001539D6">
        <w:t>) effects in TPM</w:t>
      </w:r>
      <w:r w:rsidRPr="001539D6">
        <w:rPr>
          <w:noProof/>
        </w:rPr>
        <w:t xml:space="preserve"> </w:t>
      </w:r>
      <w:r>
        <w:rPr>
          <w:noProof/>
        </w:rPr>
        <w:t>[5]</w:t>
      </w:r>
      <w:r w:rsidRPr="001539D6">
        <w:t xml:space="preserve">. According to the mentioned properties, vinegar </w:t>
      </w:r>
      <w:r>
        <w:rPr>
          <w:noProof/>
        </w:rPr>
        <w:t>is considered</w:t>
      </w:r>
      <w:r w:rsidRPr="001539D6">
        <w:t xml:space="preserve"> as an agent </w:t>
      </w:r>
      <w:proofErr w:type="gramStart"/>
      <w:r w:rsidRPr="001539D6">
        <w:t>which</w:t>
      </w:r>
      <w:proofErr w:type="gramEnd"/>
      <w:r w:rsidRPr="001539D6">
        <w:t xml:space="preserve"> can increase the efficacy of topical formulations in </w:t>
      </w:r>
      <w:r w:rsidRPr="001539D6">
        <w:lastRenderedPageBreak/>
        <w:t>TPM</w:t>
      </w:r>
      <w:r>
        <w:t xml:space="preserve"> </w:t>
      </w:r>
      <w:r>
        <w:rPr>
          <w:noProof/>
        </w:rPr>
        <w:t>[4]</w:t>
      </w:r>
      <w:r w:rsidRPr="001539D6">
        <w:t xml:space="preserve">. </w:t>
      </w:r>
      <w:r w:rsidRPr="00CC0F76">
        <w:t>Beside, vinegar is a liquid containing 5% acetic acid (CH</w:t>
      </w:r>
      <w:r w:rsidRPr="00CC0F76">
        <w:rPr>
          <w:vertAlign w:val="subscript"/>
        </w:rPr>
        <w:t>3</w:t>
      </w:r>
      <w:r w:rsidRPr="00CC0F76">
        <w:t xml:space="preserve">COOH) and water which denatures the proteins and fats of the cell membrane of the bacteria and fungi, causing the </w:t>
      </w:r>
      <w:r w:rsidRPr="00CC0F76">
        <w:rPr>
          <w:noProof/>
        </w:rPr>
        <w:t>release</w:t>
      </w:r>
      <w:r w:rsidRPr="00CC0F76">
        <w:t xml:space="preserve"> of protons, which leads to cell death. Therefore, this property of vinegar has made it a disinfectant agent. Also, a recent study demonstrated that using vinegar concomitant with other medicines can increase the efficacy of these </w:t>
      </w:r>
      <w:r w:rsidRPr="00CC0F76">
        <w:rPr>
          <w:noProof/>
        </w:rPr>
        <w:t>medicines</w:t>
      </w:r>
      <w:r w:rsidRPr="00CC0F76">
        <w:t xml:space="preserve"> and decreases their consumption </w:t>
      </w:r>
      <w:proofErr w:type="gramStart"/>
      <w:r w:rsidRPr="00CC0F76">
        <w:rPr>
          <w:noProof/>
        </w:rPr>
        <w:t>dose</w:t>
      </w:r>
      <w:r w:rsidRPr="00CC0F76">
        <w:t xml:space="preserve"> ,</w:t>
      </w:r>
      <w:proofErr w:type="gramEnd"/>
      <w:r>
        <w:t xml:space="preserve"> </w:t>
      </w:r>
      <w:r w:rsidRPr="00CC0F76">
        <w:t xml:space="preserve">due to its rapid absorption </w:t>
      </w:r>
      <w:r w:rsidRPr="00CC0F76">
        <w:rPr>
          <w:noProof/>
        </w:rPr>
        <w:t>[10]</w:t>
      </w:r>
      <w:r>
        <w:t xml:space="preserve">.   </w:t>
      </w:r>
    </w:p>
    <w:p w:rsidR="00CA36D2" w:rsidRPr="001539D6" w:rsidRDefault="00CA36D2" w:rsidP="009233B2">
      <w:pPr>
        <w:jc w:val="both"/>
      </w:pPr>
      <w:r w:rsidRPr="001539D6">
        <w:t xml:space="preserve">The most </w:t>
      </w:r>
      <w:r>
        <w:rPr>
          <w:noProof/>
        </w:rPr>
        <w:t>important</w:t>
      </w:r>
      <w:r w:rsidRPr="001539D6">
        <w:t xml:space="preserve"> limitation of this study was the use of a non</w:t>
      </w:r>
      <w:r>
        <w:t>-</w:t>
      </w:r>
      <w:r w:rsidRPr="001539D6">
        <w:t xml:space="preserve">standardized hand-made formulation. We also were not able to obtain the patient's permission to take photos of her scalp and hair due to her religious limitations. The response is not also clear to be achieved completely by </w:t>
      </w:r>
      <w:r>
        <w:rPr>
          <w:noProof/>
        </w:rPr>
        <w:t>topical</w:t>
      </w:r>
      <w:r w:rsidRPr="001539D6">
        <w:t xml:space="preserve"> use of </w:t>
      </w:r>
      <w:r w:rsidRPr="001539D6">
        <w:rPr>
          <w:i/>
          <w:iCs/>
        </w:rPr>
        <w:t>A</w:t>
      </w:r>
      <w:r>
        <w:rPr>
          <w:i/>
          <w:iCs/>
        </w:rPr>
        <w:t>.</w:t>
      </w:r>
      <w:r w:rsidRPr="001539D6">
        <w:rPr>
          <w:i/>
          <w:iCs/>
        </w:rPr>
        <w:t xml:space="preserve"> </w:t>
      </w:r>
      <w:r>
        <w:rPr>
          <w:i/>
          <w:iCs/>
          <w:noProof/>
        </w:rPr>
        <w:t>officinalis</w:t>
      </w:r>
      <w:r w:rsidRPr="001539D6">
        <w:t>, as the patient has received TPM lifestyle modifications concurrently.</w:t>
      </w:r>
    </w:p>
    <w:p w:rsidR="00CA36D2" w:rsidRPr="001539D6" w:rsidRDefault="00CA36D2" w:rsidP="00553C8A">
      <w:pPr>
        <w:jc w:val="both"/>
      </w:pPr>
    </w:p>
    <w:p w:rsidR="00CA36D2" w:rsidRPr="001539D6" w:rsidRDefault="00CA36D2" w:rsidP="00553C8A">
      <w:pPr>
        <w:jc w:val="both"/>
        <w:rPr>
          <w:b/>
          <w:bCs/>
        </w:rPr>
      </w:pPr>
      <w:r w:rsidRPr="001539D6">
        <w:rPr>
          <w:b/>
          <w:bCs/>
        </w:rPr>
        <w:t>Conclusion</w:t>
      </w:r>
    </w:p>
    <w:p w:rsidR="00CA36D2" w:rsidRPr="001539D6" w:rsidRDefault="00CA36D2" w:rsidP="009233B2">
      <w:pPr>
        <w:jc w:val="both"/>
      </w:pPr>
      <w:r w:rsidRPr="001539D6">
        <w:t xml:space="preserve">This remarkable clinical experience suggests </w:t>
      </w:r>
      <w:r>
        <w:t>that</w:t>
      </w:r>
      <w:r w:rsidRPr="001539D6">
        <w:t xml:space="preserve"> further research </w:t>
      </w:r>
      <w:r>
        <w:t xml:space="preserve">should </w:t>
      </w:r>
      <w:r>
        <w:rPr>
          <w:noProof/>
        </w:rPr>
        <w:t>be conducted</w:t>
      </w:r>
      <w:r>
        <w:t xml:space="preserve"> </w:t>
      </w:r>
      <w:r w:rsidRPr="001539D6">
        <w:t xml:space="preserve">on the effect of </w:t>
      </w:r>
      <w:r w:rsidRPr="001539D6">
        <w:rPr>
          <w:i/>
          <w:iCs/>
        </w:rPr>
        <w:t>A</w:t>
      </w:r>
      <w:r>
        <w:rPr>
          <w:i/>
          <w:iCs/>
        </w:rPr>
        <w:t>.</w:t>
      </w:r>
      <w:r w:rsidRPr="001539D6">
        <w:rPr>
          <w:i/>
          <w:iCs/>
        </w:rPr>
        <w:t xml:space="preserve"> </w:t>
      </w:r>
      <w:r>
        <w:rPr>
          <w:i/>
          <w:iCs/>
          <w:noProof/>
        </w:rPr>
        <w:t>officinalis</w:t>
      </w:r>
      <w:r w:rsidRPr="001539D6">
        <w:rPr>
          <w:i/>
          <w:iCs/>
        </w:rPr>
        <w:t xml:space="preserve"> </w:t>
      </w:r>
      <w:r w:rsidRPr="001539D6">
        <w:t>and TPM's recommendations in the treatment of SD.</w:t>
      </w:r>
    </w:p>
    <w:p w:rsidR="00CA36D2" w:rsidRPr="001539D6" w:rsidRDefault="00CA36D2" w:rsidP="00553C8A">
      <w:pPr>
        <w:jc w:val="both"/>
        <w:rPr>
          <w:b/>
          <w:bCs/>
        </w:rPr>
      </w:pPr>
    </w:p>
    <w:p w:rsidR="00CA36D2" w:rsidRPr="001539D6" w:rsidRDefault="00CA36D2" w:rsidP="00553C8A">
      <w:pPr>
        <w:jc w:val="both"/>
        <w:rPr>
          <w:b/>
          <w:bCs/>
        </w:rPr>
      </w:pPr>
      <w:r w:rsidRPr="001539D6">
        <w:rPr>
          <w:b/>
          <w:bCs/>
        </w:rPr>
        <w:t>Acknowledgment</w:t>
      </w:r>
    </w:p>
    <w:p w:rsidR="00CA36D2" w:rsidRPr="001539D6" w:rsidRDefault="00CA36D2" w:rsidP="00553C8A">
      <w:pPr>
        <w:jc w:val="both"/>
      </w:pPr>
      <w:r w:rsidRPr="001539D6">
        <w:t xml:space="preserve">The authors would like to thank the Research Consultation </w:t>
      </w:r>
      <w:proofErr w:type="spellStart"/>
      <w:r w:rsidRPr="001539D6">
        <w:t>Center</w:t>
      </w:r>
      <w:proofErr w:type="spellEnd"/>
      <w:r w:rsidRPr="001539D6">
        <w:t xml:space="preserve"> (RCC) at Shiraz University of Medical Sciences for their invaluable assistance in editing this article. </w:t>
      </w:r>
    </w:p>
    <w:p w:rsidR="00CA36D2" w:rsidRPr="001539D6" w:rsidRDefault="00CA36D2" w:rsidP="000C0C95">
      <w:pPr>
        <w:jc w:val="both"/>
      </w:pPr>
    </w:p>
    <w:p w:rsidR="00CA36D2" w:rsidRPr="001539D6" w:rsidRDefault="00CA36D2" w:rsidP="000C0C95">
      <w:pPr>
        <w:jc w:val="both"/>
        <w:rPr>
          <w:b/>
          <w:bCs/>
        </w:rPr>
      </w:pPr>
      <w:r w:rsidRPr="001539D6">
        <w:rPr>
          <w:b/>
          <w:bCs/>
        </w:rPr>
        <w:t xml:space="preserve">Conflict of </w:t>
      </w:r>
      <w:r>
        <w:rPr>
          <w:b/>
          <w:bCs/>
        </w:rPr>
        <w:t>I</w:t>
      </w:r>
      <w:r w:rsidRPr="001539D6">
        <w:rPr>
          <w:b/>
          <w:bCs/>
        </w:rPr>
        <w:t>nterests</w:t>
      </w:r>
      <w:bookmarkStart w:id="0" w:name="_GoBack"/>
      <w:bookmarkEnd w:id="0"/>
    </w:p>
    <w:p w:rsidR="00CA36D2" w:rsidRPr="001539D6" w:rsidRDefault="00CA36D2">
      <w:r w:rsidRPr="009233B2">
        <w:t>The authors declare no conflict of interests.</w:t>
      </w:r>
    </w:p>
    <w:p w:rsidR="00CA36D2" w:rsidRDefault="00CA36D2">
      <w:pPr>
        <w:rPr>
          <w:b/>
          <w:bCs/>
          <w:noProof/>
        </w:rPr>
      </w:pPr>
      <w:r w:rsidRPr="00CC0F76">
        <w:rPr>
          <w:b/>
          <w:bCs/>
          <w:noProof/>
        </w:rPr>
        <w:t>References</w:t>
      </w:r>
    </w:p>
    <w:p w:rsidR="00CA36D2" w:rsidRDefault="00CA36D2" w:rsidP="006370FB">
      <w:pPr>
        <w:spacing w:line="240" w:lineRule="auto"/>
        <w:rPr>
          <w:noProof/>
        </w:rPr>
      </w:pPr>
      <w:bookmarkStart w:id="1" w:name="_ENREF_1"/>
      <w:r>
        <w:rPr>
          <w:noProof/>
        </w:rPr>
        <w:t xml:space="preserve">1. Borda LJ, Wikramanayake TC. Seborrheic Dermatitis and Dandruff: A Comprehensive Review. </w:t>
      </w:r>
      <w:hyperlink r:id="rId5" w:tooltip="Journal of clinical and investigative dermatology." w:history="1">
        <w:r w:rsidR="006370FB" w:rsidRPr="0028010A">
          <w:rPr>
            <w:noProof/>
            <w:highlight w:val="yellow"/>
          </w:rPr>
          <w:t>J Clin Investig Dermatol</w:t>
        </w:r>
      </w:hyperlink>
      <w:r>
        <w:rPr>
          <w:noProof/>
        </w:rPr>
        <w:t xml:space="preserve">. 2015;3(2). </w:t>
      </w:r>
      <w:bookmarkEnd w:id="1"/>
    </w:p>
    <w:p w:rsidR="00CA36D2" w:rsidRDefault="00CA36D2" w:rsidP="0028010A">
      <w:pPr>
        <w:spacing w:line="240" w:lineRule="auto"/>
        <w:rPr>
          <w:noProof/>
        </w:rPr>
      </w:pPr>
      <w:bookmarkStart w:id="2" w:name="_ENREF_2"/>
      <w:r>
        <w:rPr>
          <w:noProof/>
        </w:rPr>
        <w:lastRenderedPageBreak/>
        <w:t>2. Bas Y, Seckin HY, Kalkan G, Takci Z, Citil R, Onder Y</w:t>
      </w:r>
      <w:r w:rsidRPr="00CC0F76">
        <w:rPr>
          <w:noProof/>
        </w:rPr>
        <w:t>,</w:t>
      </w:r>
      <w:r>
        <w:rPr>
          <w:noProof/>
        </w:rPr>
        <w:t xml:space="preserve"> et al. Prevalence and related factors of psoriasis and seborrheic dermatitis: a community-based study. </w:t>
      </w:r>
      <w:hyperlink r:id="rId6" w:tooltip="Turkish journal of medical sciences." w:history="1">
        <w:r w:rsidR="0028010A" w:rsidRPr="0028010A">
          <w:rPr>
            <w:noProof/>
            <w:highlight w:val="yellow"/>
          </w:rPr>
          <w:t>Turk J Med Sci</w:t>
        </w:r>
      </w:hyperlink>
      <w:r>
        <w:rPr>
          <w:noProof/>
        </w:rPr>
        <w:t xml:space="preserve">. 2016;46(2):303-9. </w:t>
      </w:r>
      <w:bookmarkEnd w:id="2"/>
    </w:p>
    <w:p w:rsidR="00CA36D2" w:rsidRDefault="00CA36D2" w:rsidP="0096719E">
      <w:pPr>
        <w:spacing w:line="240" w:lineRule="auto"/>
        <w:rPr>
          <w:noProof/>
        </w:rPr>
      </w:pPr>
      <w:bookmarkStart w:id="3" w:name="_ENREF_3"/>
      <w:r>
        <w:rPr>
          <w:noProof/>
        </w:rPr>
        <w:t>3. Nazem Jahan M. Eksir - e - Azam. third ed. Tehran: Tehran university of MedicalScience : Institute for Islamic and Complementary Medicine; 2007.</w:t>
      </w:r>
      <w:bookmarkEnd w:id="3"/>
    </w:p>
    <w:p w:rsidR="00CA36D2" w:rsidRDefault="00CA36D2" w:rsidP="0096719E">
      <w:pPr>
        <w:spacing w:line="240" w:lineRule="auto"/>
        <w:rPr>
          <w:noProof/>
        </w:rPr>
      </w:pPr>
      <w:bookmarkStart w:id="4" w:name="_ENREF_4"/>
      <w:r>
        <w:rPr>
          <w:noProof/>
        </w:rPr>
        <w:t>4. Avicenna H. Ghanoon Dar Teb [The Canon of Medicine]. 9th ed. Tehran: Soroush Publication; 1978.</w:t>
      </w:r>
      <w:bookmarkEnd w:id="4"/>
    </w:p>
    <w:p w:rsidR="00CA36D2" w:rsidRDefault="00CA36D2" w:rsidP="0096719E">
      <w:pPr>
        <w:spacing w:line="240" w:lineRule="auto"/>
        <w:rPr>
          <w:noProof/>
        </w:rPr>
      </w:pPr>
      <w:bookmarkStart w:id="5" w:name="_ENREF_5"/>
      <w:r>
        <w:rPr>
          <w:noProof/>
        </w:rPr>
        <w:t>5. Aqili Khorasani M. Makhzan al-Adwiah (Drug Treasure). Reprinted from a copy which was printed in Calcutta dated in  1844. Tehran: Enqelab-e Eslami Publishing and Educational Organization; 1992.</w:t>
      </w:r>
      <w:bookmarkEnd w:id="5"/>
    </w:p>
    <w:p w:rsidR="00CA36D2" w:rsidRDefault="00CA36D2" w:rsidP="0096719E">
      <w:pPr>
        <w:spacing w:line="240" w:lineRule="auto"/>
        <w:rPr>
          <w:noProof/>
        </w:rPr>
      </w:pPr>
      <w:bookmarkStart w:id="6" w:name="_ENREF_6"/>
      <w:r>
        <w:rPr>
          <w:noProof/>
        </w:rPr>
        <w:t>6. Habif TP, Chapman MS, Campbell Jr JL, Dinulos JG, Zug KA. Skin disease: diagnosis and treatment. Elsevier Health Sciences; 2011.</w:t>
      </w:r>
      <w:bookmarkEnd w:id="6"/>
    </w:p>
    <w:p w:rsidR="00CA36D2" w:rsidRDefault="00CA36D2" w:rsidP="0028010A">
      <w:pPr>
        <w:spacing w:line="240" w:lineRule="auto"/>
        <w:rPr>
          <w:noProof/>
        </w:rPr>
      </w:pPr>
      <w:bookmarkStart w:id="7" w:name="_ENREF_7"/>
      <w:r>
        <w:rPr>
          <w:noProof/>
        </w:rPr>
        <w:t xml:space="preserve">7. Rezaei M, Dadgar Z, Noori-Zadeh A, Mesbah-Namin SA, Pakzad I, Davodian E. Evaluation of the antibacterial activity of the </w:t>
      </w:r>
      <w:r w:rsidRPr="00CC0F76">
        <w:rPr>
          <w:i/>
          <w:iCs/>
          <w:noProof/>
        </w:rPr>
        <w:t>Althaea officinalis</w:t>
      </w:r>
      <w:r>
        <w:rPr>
          <w:noProof/>
        </w:rPr>
        <w:t xml:space="preserve"> L. leaf extract and its wound healing potency in the rat model of excision wound creation. </w:t>
      </w:r>
      <w:hyperlink r:id="rId7" w:tooltip="Avicenna journal of phytomedicine." w:history="1">
        <w:r w:rsidR="0028010A" w:rsidRPr="0028010A">
          <w:rPr>
            <w:noProof/>
            <w:highlight w:val="yellow"/>
          </w:rPr>
          <w:t xml:space="preserve">Avicenna J </w:t>
        </w:r>
        <w:proofErr w:type="spellStart"/>
        <w:r w:rsidR="0028010A" w:rsidRPr="0028010A">
          <w:rPr>
            <w:noProof/>
            <w:highlight w:val="yellow"/>
          </w:rPr>
          <w:t>Phytomed</w:t>
        </w:r>
        <w:proofErr w:type="spellEnd"/>
      </w:hyperlink>
      <w:r>
        <w:rPr>
          <w:noProof/>
        </w:rPr>
        <w:t xml:space="preserve">. 2015;5(2):105-12. </w:t>
      </w:r>
      <w:bookmarkEnd w:id="7"/>
    </w:p>
    <w:p w:rsidR="00CA36D2" w:rsidRDefault="00CA36D2" w:rsidP="0096719E">
      <w:pPr>
        <w:spacing w:line="240" w:lineRule="auto"/>
        <w:rPr>
          <w:noProof/>
        </w:rPr>
      </w:pPr>
      <w:bookmarkStart w:id="8" w:name="_ENREF_8"/>
      <w:r>
        <w:rPr>
          <w:noProof/>
        </w:rPr>
        <w:t>8. Nostro A, Germano MP, D'Angelo V, Marino A, Cannatelli MA. Extraction methods and bioautography for evaluation of medicinal plant antimicrobial activity</w:t>
      </w:r>
      <w:r w:rsidRPr="0028010A">
        <w:rPr>
          <w:noProof/>
          <w:highlight w:val="yellow"/>
        </w:rPr>
        <w:t>. Letters in applied microbiology</w:t>
      </w:r>
      <w:r>
        <w:rPr>
          <w:noProof/>
        </w:rPr>
        <w:t xml:space="preserve">. 2000;30(5):379-84. </w:t>
      </w:r>
      <w:bookmarkEnd w:id="8"/>
    </w:p>
    <w:p w:rsidR="00CA36D2" w:rsidRDefault="00CA36D2" w:rsidP="0028010A">
      <w:pPr>
        <w:spacing w:line="240" w:lineRule="auto"/>
        <w:rPr>
          <w:noProof/>
        </w:rPr>
      </w:pPr>
      <w:bookmarkStart w:id="9" w:name="_ENREF_9"/>
      <w:r>
        <w:rPr>
          <w:noProof/>
        </w:rPr>
        <w:t xml:space="preserve">9. Korbekandi H, Asghari G, Chitsazi MR, Bahri Najafi R, Badii A, Iravani S. Green biosynthesis of silver nanoparticles using </w:t>
      </w:r>
      <w:r w:rsidRPr="00CC0F76">
        <w:rPr>
          <w:i/>
          <w:iCs/>
          <w:noProof/>
        </w:rPr>
        <w:t>Althaea officinalis</w:t>
      </w:r>
      <w:r>
        <w:rPr>
          <w:noProof/>
        </w:rPr>
        <w:t xml:space="preserve"> radix hydroalcoholic extract. </w:t>
      </w:r>
      <w:hyperlink r:id="rId8" w:tooltip="Artificial cells, nanomedicine, and biotechnology." w:history="1">
        <w:proofErr w:type="spellStart"/>
        <w:r w:rsidR="0028010A" w:rsidRPr="0028010A">
          <w:rPr>
            <w:noProof/>
            <w:highlight w:val="yellow"/>
          </w:rPr>
          <w:t>Artif</w:t>
        </w:r>
        <w:proofErr w:type="spellEnd"/>
        <w:r w:rsidR="0028010A" w:rsidRPr="0028010A">
          <w:rPr>
            <w:noProof/>
            <w:highlight w:val="yellow"/>
          </w:rPr>
          <w:t xml:space="preserve"> Cells </w:t>
        </w:r>
        <w:proofErr w:type="spellStart"/>
        <w:r w:rsidR="0028010A" w:rsidRPr="0028010A">
          <w:rPr>
            <w:noProof/>
            <w:highlight w:val="yellow"/>
          </w:rPr>
          <w:t>Nanomed</w:t>
        </w:r>
        <w:proofErr w:type="spellEnd"/>
        <w:r w:rsidR="0028010A" w:rsidRPr="0028010A">
          <w:rPr>
            <w:noProof/>
            <w:highlight w:val="yellow"/>
          </w:rPr>
          <w:t xml:space="preserve"> </w:t>
        </w:r>
        <w:proofErr w:type="spellStart"/>
        <w:r w:rsidR="0028010A" w:rsidRPr="0028010A">
          <w:rPr>
            <w:noProof/>
            <w:highlight w:val="yellow"/>
          </w:rPr>
          <w:t>Biotechnol</w:t>
        </w:r>
        <w:proofErr w:type="spellEnd"/>
      </w:hyperlink>
      <w:r w:rsidRPr="0028010A">
        <w:rPr>
          <w:noProof/>
          <w:highlight w:val="yellow"/>
        </w:rPr>
        <w:t>.</w:t>
      </w:r>
      <w:r>
        <w:rPr>
          <w:noProof/>
        </w:rPr>
        <w:t xml:space="preserve"> 2016;44(1):209-15. </w:t>
      </w:r>
      <w:bookmarkEnd w:id="9"/>
    </w:p>
    <w:p w:rsidR="00CA36D2" w:rsidRDefault="00CA36D2" w:rsidP="0028010A">
      <w:pPr>
        <w:spacing w:line="240" w:lineRule="auto"/>
        <w:rPr>
          <w:noProof/>
        </w:rPr>
      </w:pPr>
      <w:bookmarkStart w:id="10" w:name="_ENREF_10"/>
      <w:r>
        <w:rPr>
          <w:noProof/>
        </w:rPr>
        <w:t>10. Gogineni S, Ganipineni K, Babburi S, Venigalla A, Pinnisetti S, Kotti AB</w:t>
      </w:r>
      <w:r w:rsidRPr="00CC0F76">
        <w:rPr>
          <w:noProof/>
        </w:rPr>
        <w:t>,</w:t>
      </w:r>
      <w:r>
        <w:rPr>
          <w:noProof/>
        </w:rPr>
        <w:t xml:space="preserve"> et al. Evaluation of Vinegar as a Disinfectant for Extracted Human Teeth - An in-Vitro Study. </w:t>
      </w:r>
      <w:hyperlink r:id="rId9" w:tooltip="Journal of clinical and diagnostic research : JCDR." w:history="1">
        <w:r w:rsidR="0028010A" w:rsidRPr="0028010A">
          <w:rPr>
            <w:noProof/>
            <w:highlight w:val="yellow"/>
          </w:rPr>
          <w:t xml:space="preserve">J </w:t>
        </w:r>
        <w:proofErr w:type="spellStart"/>
        <w:r w:rsidR="0028010A" w:rsidRPr="0028010A">
          <w:rPr>
            <w:noProof/>
            <w:highlight w:val="yellow"/>
          </w:rPr>
          <w:t>Clin</w:t>
        </w:r>
        <w:proofErr w:type="spellEnd"/>
        <w:r w:rsidR="0028010A" w:rsidRPr="0028010A">
          <w:rPr>
            <w:noProof/>
            <w:highlight w:val="yellow"/>
          </w:rPr>
          <w:t xml:space="preserve"> </w:t>
        </w:r>
        <w:proofErr w:type="spellStart"/>
        <w:r w:rsidR="0028010A" w:rsidRPr="0028010A">
          <w:rPr>
            <w:noProof/>
            <w:highlight w:val="yellow"/>
          </w:rPr>
          <w:t>Diagn</w:t>
        </w:r>
        <w:proofErr w:type="spellEnd"/>
        <w:r w:rsidR="0028010A" w:rsidRPr="0028010A">
          <w:rPr>
            <w:noProof/>
            <w:highlight w:val="yellow"/>
          </w:rPr>
          <w:t xml:space="preserve"> Res</w:t>
        </w:r>
      </w:hyperlink>
      <w:r w:rsidRPr="0028010A">
        <w:rPr>
          <w:noProof/>
          <w:highlight w:val="yellow"/>
        </w:rPr>
        <w:t>:</w:t>
      </w:r>
      <w:r>
        <w:rPr>
          <w:noProof/>
        </w:rPr>
        <w:t xml:space="preserve"> JCDR. 2016;10(7):ZC50-2. </w:t>
      </w:r>
      <w:bookmarkEnd w:id="10"/>
    </w:p>
    <w:p w:rsidR="00CA36D2" w:rsidRDefault="00CA36D2" w:rsidP="0096719E">
      <w:pPr>
        <w:spacing w:line="240" w:lineRule="auto"/>
        <w:rPr>
          <w:noProof/>
        </w:rPr>
      </w:pPr>
    </w:p>
    <w:p w:rsidR="00CA36D2" w:rsidRDefault="00CA36D2"/>
    <w:p w:rsidR="009F1161" w:rsidRDefault="00106DBE"/>
    <w:sectPr w:rsidR="009F1161" w:rsidSect="00F43C0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3A7" w:rsidRDefault="00106D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3A7" w:rsidRDefault="00106D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3A7" w:rsidRDefault="00106DB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3A7" w:rsidRDefault="00106D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BB" w:rsidRDefault="00106D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3A7" w:rsidRDefault="00106D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18"/>
  </w:num>
  <w:num w:numId="21">
    <w:abstractNumId w:val="21"/>
  </w:num>
  <w:num w:numId="22">
    <w:abstractNumId w:val="22"/>
  </w:num>
  <w:num w:numId="23">
    <w:abstractNumId w:val="13"/>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revisionView w:markup="0" w:inkAnnotations="0"/>
  <w:defaultTabStop w:val="720"/>
  <w:characterSpacingControl w:val="doNotCompress"/>
  <w:compat/>
  <w:docVars>
    <w:docVar w:name="EN.InstantFormat" w:val="&lt;ENInstantFormat&gt;&lt;Enabled&gt;1&lt;/Enabled&gt;&lt;ScanUnformatted&gt;1&lt;/ScanUnformatted&gt;&lt;ScanChanges&gt;1&lt;/ScanChanges&gt;&lt;Suspended&gt;1&lt;/Suspended&gt;&lt;/ENInstantFormat&gt;"/>
  </w:docVars>
  <w:rsids>
    <w:rsidRoot w:val="00CA36D2"/>
    <w:rsid w:val="00106DBE"/>
    <w:rsid w:val="001816BD"/>
    <w:rsid w:val="0028010A"/>
    <w:rsid w:val="002F6C28"/>
    <w:rsid w:val="006370FB"/>
    <w:rsid w:val="00CA36D2"/>
    <w:rsid w:val="00D54E7A"/>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6D2"/>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qFormat/>
    <w:rsid w:val="00CA36D2"/>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CA36D2"/>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CA36D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CA36D2"/>
    <w:pPr>
      <w:spacing w:before="360"/>
      <w:outlineLvl w:val="3"/>
    </w:pPr>
    <w:rPr>
      <w:bCs/>
      <w:szCs w:val="28"/>
    </w:rPr>
  </w:style>
  <w:style w:type="character" w:default="1" w:styleId="DefaultParagraphFont">
    <w:name w:val="Default Paragraph Font"/>
    <w:uiPriority w:val="1"/>
    <w:semiHidden/>
    <w:unhideWhenUsed/>
    <w:rsid w:val="00CA36D2"/>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CA36D2"/>
  </w:style>
  <w:style w:type="character" w:customStyle="1" w:styleId="Heading1Char">
    <w:name w:val="Heading 1 Char"/>
    <w:basedOn w:val="DefaultParagraphFont"/>
    <w:link w:val="Heading1"/>
    <w:rsid w:val="00CA36D2"/>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rsid w:val="00CA36D2"/>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rsid w:val="00CA36D2"/>
    <w:rPr>
      <w:rFonts w:ascii="Times New Roman" w:eastAsia="Times New Roman" w:hAnsi="Times New Roman" w:cs="Arial"/>
      <w:bCs/>
      <w:i/>
      <w:sz w:val="24"/>
      <w:szCs w:val="26"/>
      <w:lang w:eastAsia="en-GB"/>
    </w:rPr>
  </w:style>
  <w:style w:type="character" w:customStyle="1" w:styleId="Heading4Char">
    <w:name w:val="Heading 4 Char"/>
    <w:basedOn w:val="DefaultParagraphFont"/>
    <w:link w:val="Heading4"/>
    <w:rsid w:val="00CA36D2"/>
    <w:rPr>
      <w:rFonts w:ascii="Times New Roman" w:eastAsia="Times New Roman" w:hAnsi="Times New Roman" w:cs="Times New Roman"/>
      <w:bCs/>
      <w:sz w:val="24"/>
      <w:szCs w:val="28"/>
      <w:lang w:eastAsia="en-GB"/>
    </w:rPr>
  </w:style>
  <w:style w:type="paragraph" w:customStyle="1" w:styleId="Articletitle">
    <w:name w:val="Article title"/>
    <w:basedOn w:val="Normal"/>
    <w:next w:val="Normal"/>
    <w:qFormat/>
    <w:rsid w:val="00CA36D2"/>
    <w:pPr>
      <w:spacing w:after="120" w:line="360" w:lineRule="auto"/>
    </w:pPr>
    <w:rPr>
      <w:b/>
      <w:sz w:val="28"/>
    </w:rPr>
  </w:style>
  <w:style w:type="paragraph" w:customStyle="1" w:styleId="Authornames">
    <w:name w:val="Author names"/>
    <w:basedOn w:val="Normal"/>
    <w:next w:val="Normal"/>
    <w:qFormat/>
    <w:rsid w:val="00CA36D2"/>
    <w:pPr>
      <w:spacing w:before="240" w:line="360" w:lineRule="auto"/>
    </w:pPr>
    <w:rPr>
      <w:sz w:val="28"/>
    </w:rPr>
  </w:style>
  <w:style w:type="paragraph" w:customStyle="1" w:styleId="Affiliation">
    <w:name w:val="Affiliation"/>
    <w:basedOn w:val="Normal"/>
    <w:qFormat/>
    <w:rsid w:val="00CA36D2"/>
    <w:pPr>
      <w:spacing w:before="240" w:line="360" w:lineRule="auto"/>
    </w:pPr>
    <w:rPr>
      <w:i/>
    </w:rPr>
  </w:style>
  <w:style w:type="paragraph" w:customStyle="1" w:styleId="Receiveddates">
    <w:name w:val="Received dates"/>
    <w:basedOn w:val="Affiliation"/>
    <w:next w:val="Normal"/>
    <w:qFormat/>
    <w:rsid w:val="00CA36D2"/>
  </w:style>
  <w:style w:type="paragraph" w:customStyle="1" w:styleId="Abstract">
    <w:name w:val="Abstract"/>
    <w:basedOn w:val="Normal"/>
    <w:next w:val="Keywords"/>
    <w:qFormat/>
    <w:rsid w:val="00CA36D2"/>
    <w:pPr>
      <w:spacing w:before="360" w:after="300" w:line="360" w:lineRule="auto"/>
      <w:ind w:left="720" w:right="567"/>
      <w:contextualSpacing/>
    </w:pPr>
    <w:rPr>
      <w:sz w:val="22"/>
    </w:rPr>
  </w:style>
  <w:style w:type="paragraph" w:customStyle="1" w:styleId="Keywords">
    <w:name w:val="Keywords"/>
    <w:basedOn w:val="Normal"/>
    <w:next w:val="Paragraph"/>
    <w:qFormat/>
    <w:rsid w:val="00CA36D2"/>
    <w:pPr>
      <w:spacing w:before="240" w:after="240" w:line="360" w:lineRule="auto"/>
      <w:ind w:left="720" w:right="567"/>
    </w:pPr>
    <w:rPr>
      <w:sz w:val="22"/>
    </w:rPr>
  </w:style>
  <w:style w:type="paragraph" w:customStyle="1" w:styleId="Correspondencedetails">
    <w:name w:val="Correspondence details"/>
    <w:basedOn w:val="Normal"/>
    <w:qFormat/>
    <w:rsid w:val="00CA36D2"/>
    <w:pPr>
      <w:spacing w:before="240" w:line="360" w:lineRule="auto"/>
    </w:pPr>
  </w:style>
  <w:style w:type="paragraph" w:customStyle="1" w:styleId="Displayedquotation">
    <w:name w:val="Displayed quotation"/>
    <w:basedOn w:val="Normal"/>
    <w:qFormat/>
    <w:rsid w:val="00CA36D2"/>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CA36D2"/>
    <w:pPr>
      <w:widowControl/>
      <w:numPr>
        <w:numId w:val="13"/>
      </w:numPr>
      <w:spacing w:after="240"/>
      <w:contextualSpacing/>
    </w:pPr>
  </w:style>
  <w:style w:type="paragraph" w:customStyle="1" w:styleId="Displayedequation">
    <w:name w:val="Displayed equation"/>
    <w:basedOn w:val="Normal"/>
    <w:next w:val="Paragraph"/>
    <w:qFormat/>
    <w:rsid w:val="00CA36D2"/>
    <w:pPr>
      <w:tabs>
        <w:tab w:val="center" w:pos="4253"/>
        <w:tab w:val="right" w:pos="8222"/>
      </w:tabs>
      <w:spacing w:before="240" w:after="240"/>
      <w:jc w:val="center"/>
    </w:pPr>
  </w:style>
  <w:style w:type="paragraph" w:customStyle="1" w:styleId="Acknowledgements">
    <w:name w:val="Acknowledgements"/>
    <w:basedOn w:val="Normal"/>
    <w:next w:val="Normal"/>
    <w:qFormat/>
    <w:rsid w:val="00CA36D2"/>
    <w:pPr>
      <w:spacing w:before="120" w:line="360" w:lineRule="auto"/>
    </w:pPr>
    <w:rPr>
      <w:sz w:val="22"/>
    </w:rPr>
  </w:style>
  <w:style w:type="paragraph" w:customStyle="1" w:styleId="Tabletitle">
    <w:name w:val="Table title"/>
    <w:basedOn w:val="Normal"/>
    <w:next w:val="Normal"/>
    <w:qFormat/>
    <w:rsid w:val="00CA36D2"/>
    <w:pPr>
      <w:spacing w:before="240" w:line="360" w:lineRule="auto"/>
    </w:pPr>
  </w:style>
  <w:style w:type="paragraph" w:customStyle="1" w:styleId="Figurecaption">
    <w:name w:val="Figure caption"/>
    <w:basedOn w:val="Normal"/>
    <w:next w:val="Normal"/>
    <w:link w:val="FigurecaptionChar"/>
    <w:qFormat/>
    <w:rsid w:val="00CA36D2"/>
    <w:pPr>
      <w:spacing w:before="240" w:line="360" w:lineRule="auto"/>
    </w:pPr>
  </w:style>
  <w:style w:type="paragraph" w:customStyle="1" w:styleId="Footnotes">
    <w:name w:val="Footnotes"/>
    <w:basedOn w:val="Normal"/>
    <w:qFormat/>
    <w:rsid w:val="00CA36D2"/>
    <w:pPr>
      <w:spacing w:before="120" w:line="360" w:lineRule="auto"/>
      <w:ind w:left="482" w:hanging="482"/>
      <w:contextualSpacing/>
    </w:pPr>
    <w:rPr>
      <w:sz w:val="22"/>
    </w:rPr>
  </w:style>
  <w:style w:type="paragraph" w:customStyle="1" w:styleId="Notesoncontributors">
    <w:name w:val="Notes on contributors"/>
    <w:basedOn w:val="Normal"/>
    <w:qFormat/>
    <w:rsid w:val="00CA36D2"/>
    <w:pPr>
      <w:spacing w:before="240" w:line="360" w:lineRule="auto"/>
    </w:pPr>
    <w:rPr>
      <w:sz w:val="22"/>
    </w:rPr>
  </w:style>
  <w:style w:type="paragraph" w:customStyle="1" w:styleId="Normalparagraphstyle">
    <w:name w:val="Normal paragraph style"/>
    <w:basedOn w:val="Normal"/>
    <w:next w:val="Normal"/>
    <w:rsid w:val="00CA36D2"/>
  </w:style>
  <w:style w:type="paragraph" w:customStyle="1" w:styleId="Paragraph">
    <w:name w:val="Paragraph"/>
    <w:basedOn w:val="Normal"/>
    <w:next w:val="Newparagraph"/>
    <w:qFormat/>
    <w:rsid w:val="00CA36D2"/>
    <w:pPr>
      <w:widowControl w:val="0"/>
      <w:spacing w:before="240"/>
    </w:pPr>
  </w:style>
  <w:style w:type="paragraph" w:customStyle="1" w:styleId="Newparagraph">
    <w:name w:val="New paragraph"/>
    <w:basedOn w:val="Normal"/>
    <w:qFormat/>
    <w:rsid w:val="00CA36D2"/>
    <w:pPr>
      <w:ind w:firstLine="720"/>
    </w:pPr>
  </w:style>
  <w:style w:type="paragraph" w:styleId="NormalIndent">
    <w:name w:val="Normal Indent"/>
    <w:basedOn w:val="Normal"/>
    <w:rsid w:val="00CA36D2"/>
    <w:pPr>
      <w:ind w:left="720"/>
    </w:pPr>
  </w:style>
  <w:style w:type="paragraph" w:customStyle="1" w:styleId="References">
    <w:name w:val="References"/>
    <w:basedOn w:val="Normal"/>
    <w:qFormat/>
    <w:rsid w:val="00CA36D2"/>
    <w:pPr>
      <w:spacing w:before="120" w:line="360" w:lineRule="auto"/>
      <w:ind w:left="720" w:hanging="720"/>
      <w:contextualSpacing/>
    </w:pPr>
  </w:style>
  <w:style w:type="paragraph" w:customStyle="1" w:styleId="Subjectcodes">
    <w:name w:val="Subject codes"/>
    <w:basedOn w:val="Keywords"/>
    <w:next w:val="Paragraph"/>
    <w:qFormat/>
    <w:rsid w:val="00CA36D2"/>
  </w:style>
  <w:style w:type="paragraph" w:customStyle="1" w:styleId="Bulletedlist">
    <w:name w:val="Bulleted list"/>
    <w:basedOn w:val="Paragraph"/>
    <w:next w:val="Paragraph"/>
    <w:qFormat/>
    <w:rsid w:val="00CA36D2"/>
    <w:pPr>
      <w:widowControl/>
      <w:numPr>
        <w:numId w:val="14"/>
      </w:numPr>
      <w:spacing w:after="240"/>
      <w:contextualSpacing/>
    </w:pPr>
  </w:style>
  <w:style w:type="paragraph" w:styleId="FootnoteText">
    <w:name w:val="footnote text"/>
    <w:basedOn w:val="Normal"/>
    <w:link w:val="FootnoteTextChar"/>
    <w:autoRedefine/>
    <w:rsid w:val="00CA36D2"/>
    <w:pPr>
      <w:ind w:left="284" w:hanging="284"/>
    </w:pPr>
    <w:rPr>
      <w:sz w:val="22"/>
      <w:szCs w:val="20"/>
    </w:rPr>
  </w:style>
  <w:style w:type="character" w:customStyle="1" w:styleId="FootnoteTextChar">
    <w:name w:val="Footnote Text Char"/>
    <w:basedOn w:val="DefaultParagraphFont"/>
    <w:link w:val="FootnoteText"/>
    <w:rsid w:val="00CA36D2"/>
    <w:rPr>
      <w:rFonts w:ascii="Times New Roman" w:eastAsia="Times New Roman" w:hAnsi="Times New Roman" w:cs="Times New Roman"/>
      <w:szCs w:val="20"/>
      <w:lang w:eastAsia="en-GB"/>
    </w:rPr>
  </w:style>
  <w:style w:type="character" w:styleId="FootnoteReference">
    <w:name w:val="footnote reference"/>
    <w:basedOn w:val="DefaultParagraphFont"/>
    <w:rsid w:val="00CA36D2"/>
    <w:rPr>
      <w:vertAlign w:val="superscript"/>
    </w:rPr>
  </w:style>
  <w:style w:type="paragraph" w:styleId="EndnoteText">
    <w:name w:val="endnote text"/>
    <w:basedOn w:val="Normal"/>
    <w:link w:val="EndnoteTextChar"/>
    <w:autoRedefine/>
    <w:rsid w:val="00CA36D2"/>
    <w:pPr>
      <w:ind w:left="284" w:hanging="284"/>
    </w:pPr>
    <w:rPr>
      <w:sz w:val="22"/>
      <w:szCs w:val="20"/>
    </w:rPr>
  </w:style>
  <w:style w:type="character" w:customStyle="1" w:styleId="EndnoteTextChar">
    <w:name w:val="Endnote Text Char"/>
    <w:basedOn w:val="DefaultParagraphFont"/>
    <w:link w:val="EndnoteText"/>
    <w:rsid w:val="00CA36D2"/>
    <w:rPr>
      <w:rFonts w:ascii="Times New Roman" w:eastAsia="Times New Roman" w:hAnsi="Times New Roman" w:cs="Times New Roman"/>
      <w:szCs w:val="20"/>
      <w:lang w:eastAsia="en-GB"/>
    </w:rPr>
  </w:style>
  <w:style w:type="character" w:styleId="EndnoteReference">
    <w:name w:val="endnote reference"/>
    <w:basedOn w:val="DefaultParagraphFont"/>
    <w:rsid w:val="00CA36D2"/>
    <w:rPr>
      <w:vertAlign w:val="superscript"/>
    </w:rPr>
  </w:style>
  <w:style w:type="paragraph" w:styleId="Header">
    <w:name w:val="header"/>
    <w:basedOn w:val="Normal"/>
    <w:link w:val="HeaderChar"/>
    <w:uiPriority w:val="99"/>
    <w:rsid w:val="00CA36D2"/>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CA36D2"/>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CA36D2"/>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CA36D2"/>
    <w:rPr>
      <w:rFonts w:ascii="Times New Roman" w:eastAsia="Times New Roman" w:hAnsi="Times New Roman" w:cs="Times New Roman"/>
      <w:sz w:val="24"/>
      <w:szCs w:val="24"/>
      <w:lang w:eastAsia="en-GB"/>
    </w:rPr>
  </w:style>
  <w:style w:type="paragraph" w:customStyle="1" w:styleId="Heading4Paragraph">
    <w:name w:val="Heading 4 + Paragraph"/>
    <w:basedOn w:val="Paragraph"/>
    <w:next w:val="Newparagraph"/>
    <w:qFormat/>
    <w:rsid w:val="00CA36D2"/>
    <w:pPr>
      <w:widowControl/>
      <w:spacing w:before="360"/>
    </w:pPr>
  </w:style>
  <w:style w:type="paragraph" w:styleId="ListParagraph">
    <w:name w:val="List Paragraph"/>
    <w:basedOn w:val="Normal"/>
    <w:uiPriority w:val="34"/>
    <w:qFormat/>
    <w:rsid w:val="00CA36D2"/>
    <w:pPr>
      <w:spacing w:line="360" w:lineRule="auto"/>
      <w:ind w:left="720" w:firstLine="567"/>
      <w:contextualSpacing/>
      <w:jc w:val="lowKashida"/>
    </w:pPr>
    <w:rPr>
      <w:rFonts w:asciiTheme="majorBidi" w:eastAsiaTheme="minorHAnsi" w:hAnsiTheme="majorBidi" w:cstheme="majorBidi"/>
      <w:lang w:val="en-US" w:eastAsia="en-US"/>
    </w:rPr>
  </w:style>
  <w:style w:type="paragraph" w:styleId="NoSpacing">
    <w:name w:val="No Spacing"/>
    <w:qFormat/>
    <w:rsid w:val="00CA36D2"/>
    <w:pPr>
      <w:spacing w:after="0" w:line="240" w:lineRule="auto"/>
    </w:pPr>
    <w:rPr>
      <w:rFonts w:ascii="Calibri" w:eastAsia="Calibri" w:hAnsi="Calibri" w:cs="Arial"/>
      <w:lang w:val="en-US"/>
    </w:rPr>
  </w:style>
  <w:style w:type="character" w:customStyle="1" w:styleId="gt-baf-word-clickable1">
    <w:name w:val="gt-baf-word-clickable1"/>
    <w:basedOn w:val="DefaultParagraphFont"/>
    <w:rsid w:val="00CA36D2"/>
    <w:rPr>
      <w:color w:val="000000"/>
    </w:rPr>
  </w:style>
  <w:style w:type="character" w:styleId="Hyperlink">
    <w:name w:val="Hyperlink"/>
    <w:basedOn w:val="DefaultParagraphFont"/>
    <w:rsid w:val="00CA36D2"/>
    <w:rPr>
      <w:color w:val="0000FF" w:themeColor="hyperlink"/>
      <w:u w:val="single"/>
    </w:rPr>
  </w:style>
  <w:style w:type="paragraph" w:styleId="BalloonText">
    <w:name w:val="Balloon Text"/>
    <w:basedOn w:val="Normal"/>
    <w:link w:val="BalloonTextChar"/>
    <w:rsid w:val="00CA36D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A36D2"/>
    <w:rPr>
      <w:rFonts w:ascii="Tahoma" w:eastAsia="Times New Roman" w:hAnsi="Tahoma" w:cs="Tahoma"/>
      <w:sz w:val="16"/>
      <w:szCs w:val="16"/>
      <w:lang w:eastAsia="en-GB"/>
    </w:rPr>
  </w:style>
  <w:style w:type="paragraph" w:customStyle="1" w:styleId="EndNoteBibliographyTitle">
    <w:name w:val="EndNote Bibliography Title"/>
    <w:basedOn w:val="Normal"/>
    <w:link w:val="EndNoteBibliographyTitleChar"/>
    <w:rsid w:val="00CA36D2"/>
    <w:pPr>
      <w:jc w:val="center"/>
    </w:pPr>
    <w:rPr>
      <w:noProof/>
    </w:rPr>
  </w:style>
  <w:style w:type="character" w:customStyle="1" w:styleId="FigurecaptionChar">
    <w:name w:val="Figure caption Char"/>
    <w:basedOn w:val="DefaultParagraphFont"/>
    <w:link w:val="Figurecaption"/>
    <w:rsid w:val="00CA36D2"/>
    <w:rPr>
      <w:rFonts w:ascii="Times New Roman" w:eastAsia="Times New Roman" w:hAnsi="Times New Roman" w:cs="Times New Roman"/>
      <w:sz w:val="24"/>
      <w:szCs w:val="24"/>
      <w:lang w:eastAsia="en-GB"/>
    </w:rPr>
  </w:style>
  <w:style w:type="character" w:customStyle="1" w:styleId="EndNoteBibliographyTitleChar">
    <w:name w:val="EndNote Bibliography Title Char"/>
    <w:basedOn w:val="FigurecaptionChar"/>
    <w:link w:val="EndNoteBibliographyTitle"/>
    <w:rsid w:val="00CA36D2"/>
    <w:rPr>
      <w:noProof/>
    </w:rPr>
  </w:style>
  <w:style w:type="paragraph" w:customStyle="1" w:styleId="EndNoteBibliography">
    <w:name w:val="EndNote Bibliography"/>
    <w:basedOn w:val="Normal"/>
    <w:link w:val="EndNoteBibliographyChar"/>
    <w:rsid w:val="00CA36D2"/>
    <w:pPr>
      <w:spacing w:line="240" w:lineRule="auto"/>
      <w:jc w:val="both"/>
    </w:pPr>
    <w:rPr>
      <w:noProof/>
    </w:rPr>
  </w:style>
  <w:style w:type="character" w:customStyle="1" w:styleId="EndNoteBibliographyChar">
    <w:name w:val="EndNote Bibliography Char"/>
    <w:basedOn w:val="FigurecaptionChar"/>
    <w:link w:val="EndNoteBibliography"/>
    <w:rsid w:val="00CA36D2"/>
    <w:rPr>
      <w:noProof/>
    </w:rPr>
  </w:style>
  <w:style w:type="character" w:styleId="CommentReference">
    <w:name w:val="annotation reference"/>
    <w:basedOn w:val="DefaultParagraphFont"/>
    <w:uiPriority w:val="99"/>
    <w:semiHidden/>
    <w:unhideWhenUsed/>
    <w:rsid w:val="00CA36D2"/>
    <w:rPr>
      <w:sz w:val="16"/>
      <w:szCs w:val="16"/>
    </w:rPr>
  </w:style>
  <w:style w:type="paragraph" w:styleId="CommentText">
    <w:name w:val="annotation text"/>
    <w:basedOn w:val="Normal"/>
    <w:link w:val="CommentTextChar"/>
    <w:uiPriority w:val="99"/>
    <w:semiHidden/>
    <w:unhideWhenUsed/>
    <w:rsid w:val="00CA36D2"/>
    <w:pPr>
      <w:spacing w:line="240" w:lineRule="auto"/>
    </w:pPr>
    <w:rPr>
      <w:sz w:val="20"/>
      <w:szCs w:val="20"/>
    </w:rPr>
  </w:style>
  <w:style w:type="character" w:customStyle="1" w:styleId="CommentTextChar">
    <w:name w:val="Comment Text Char"/>
    <w:basedOn w:val="DefaultParagraphFont"/>
    <w:link w:val="CommentText"/>
    <w:uiPriority w:val="99"/>
    <w:semiHidden/>
    <w:rsid w:val="00CA36D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A36D2"/>
    <w:rPr>
      <w:b/>
      <w:bCs/>
    </w:rPr>
  </w:style>
  <w:style w:type="character" w:customStyle="1" w:styleId="CommentSubjectChar">
    <w:name w:val="Comment Subject Char"/>
    <w:basedOn w:val="CommentTextChar"/>
    <w:link w:val="CommentSubject"/>
    <w:uiPriority w:val="99"/>
    <w:semiHidden/>
    <w:rsid w:val="00CA36D2"/>
    <w:rPr>
      <w:b/>
      <w:bCs/>
    </w:rPr>
  </w:style>
  <w:style w:type="character" w:customStyle="1" w:styleId="highlight2">
    <w:name w:val="highlight2"/>
    <w:basedOn w:val="DefaultParagraphFont"/>
    <w:rsid w:val="006370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856208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cbi.nlm.nih.gov/pubmed/?term=Evaluation+of+the+antibacterial+activity+of+the+Althaea+officinalis+L.+leaf+extract+and+its+wound+healing+potency+in+the+rat+model+of+excision+wound+creatio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cbi.nlm.nih.gov/pubmed/28425275" TargetMode="External"/><Relationship Id="rId11" Type="http://schemas.openxmlformats.org/officeDocument/2006/relationships/header" Target="header2.xml"/><Relationship Id="rId5" Type="http://schemas.openxmlformats.org/officeDocument/2006/relationships/hyperlink" Target="https://www.ncbi.nlm.nih.gov/pubmed/?term=Journal+of+clinical+and+investigative+dermatology" TargetMode="Externa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cbi.nlm.nih.gov/pubmed/2857130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1788</Words>
  <Characters>10192</Characters>
  <Application>Microsoft Office Word</Application>
  <DocSecurity>0</DocSecurity>
  <Lines>84</Lines>
  <Paragraphs>23</Paragraphs>
  <ScaleCrop>false</ScaleCrop>
  <Company/>
  <LinksUpToDate>false</LinksUpToDate>
  <CharactersWithSpaces>11957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parvizi</dc:creator>
  <cp:lastModifiedBy>parvizi</cp:lastModifiedBy>
  <cp:revision>4</cp:revision>
  <dcterms:created xsi:type="dcterms:W3CDTF">2017-06-04T06:40:00Z</dcterms:created>
  <dcterms:modified xsi:type="dcterms:W3CDTF">2017-06-04T06:55:00Z</dcterms:modified>
</cp:coreProperties>
</file>